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jc w:val="center"/>
        <w:rPr>
          <w:rFonts w:asciiTheme="majorEastAsia" w:hAnsiTheme="majorEastAsia" w:eastAsiaTheme="majorEastAsia"/>
          <w:color w:val="000000" w:themeColor="text1"/>
          <w:spacing w:val="-2"/>
          <w:sz w:val="44"/>
          <w:szCs w:val="44"/>
          <w14:textFill>
            <w14:solidFill>
              <w14:schemeClr w14:val="tx1"/>
            </w14:solidFill>
          </w14:textFill>
        </w:rPr>
      </w:pPr>
      <w:r>
        <w:rPr>
          <w:rFonts w:hint="eastAsia" w:asciiTheme="majorEastAsia" w:hAnsiTheme="majorEastAsia" w:eastAsiaTheme="majorEastAsia"/>
          <w:color w:val="000000" w:themeColor="text1"/>
          <w:spacing w:val="-2"/>
          <w:sz w:val="44"/>
          <w:szCs w:val="44"/>
          <w14:textFill>
            <w14:solidFill>
              <w14:schemeClr w14:val="tx1"/>
            </w14:solidFill>
          </w14:textFill>
        </w:rPr>
        <w:t>河南省</w:t>
      </w:r>
      <w:r>
        <w:rPr>
          <w:rFonts w:asciiTheme="majorEastAsia" w:hAnsiTheme="majorEastAsia" w:eastAsiaTheme="majorEastAsia"/>
          <w:color w:val="000000" w:themeColor="text1"/>
          <w:spacing w:val="-2"/>
          <w:sz w:val="44"/>
          <w:szCs w:val="44"/>
          <w14:textFill>
            <w14:solidFill>
              <w14:schemeClr w14:val="tx1"/>
            </w14:solidFill>
          </w14:textFill>
        </w:rPr>
        <w:t>卫生系列基层高级职称申报评审条件</w:t>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（医疗类）</w:t>
      </w:r>
      <w:r>
        <w:rPr>
          <w:rFonts w:hint="eastAsia" w:asciiTheme="majorEastAsia" w:hAnsiTheme="majorEastAsia" w:eastAsiaTheme="majorEastAsia"/>
          <w:color w:val="000000" w:themeColor="text1"/>
          <w:sz w:val="44"/>
          <w:szCs w:val="44"/>
          <w:lang w:eastAsia="zh-CN"/>
          <w14:textFill>
            <w14:solidFill>
              <w14:schemeClr w14:val="tx1"/>
            </w14:solidFill>
          </w14:textFill>
        </w:rPr>
        <w:t>（征求意见稿）</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总则</w:t>
      </w: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一、为了客观、公正、科学地评价基层卫生专业技术人员的能力与水平，建立完善考评结合的人才评价机制，鼓励卫生专业技术人员服务基层，为强基层、保基本、建机制和建立分级诊疗制度提供人才支持</w:t>
      </w:r>
      <w:r>
        <w:rPr>
          <w:rFonts w:hint="eastAsia" w:ascii="仿宋" w:hAnsi="仿宋" w:eastAsia="仿宋" w:cs="华文仿宋"/>
          <w:color w:val="000000" w:themeColor="text1"/>
          <w:sz w:val="32"/>
          <w:szCs w:val="32"/>
          <w14:textFill>
            <w14:solidFill>
              <w14:schemeClr w14:val="tx1"/>
            </w14:solidFill>
          </w14:textFill>
        </w:rPr>
        <w:t>，根据</w:t>
      </w:r>
      <w:r>
        <w:rPr>
          <w:rFonts w:hint="eastAsia" w:ascii="仿宋" w:hAnsi="仿宋" w:eastAsia="仿宋" w:cs="华文仿宋"/>
          <w:color w:val="000000" w:themeColor="text1"/>
          <w:kern w:val="0"/>
          <w:sz w:val="32"/>
          <w:szCs w:val="32"/>
          <w14:textFill>
            <w14:solidFill>
              <w14:schemeClr w14:val="tx1"/>
            </w14:solidFill>
          </w14:textFill>
        </w:rPr>
        <w:t>人力资源社会保障部、国家卫生健康委、国家中医药局《关于深化卫生专业技术人员职称制度改革的指导意见》（人社部发〔2021〕51 号）和</w:t>
      </w:r>
      <w:r>
        <w:rPr>
          <w:rFonts w:hint="eastAsia" w:ascii="仿宋" w:hAnsi="仿宋" w:eastAsia="仿宋" w:cs="华文仿宋"/>
          <w:color w:val="000000" w:themeColor="text1"/>
          <w:sz w:val="32"/>
          <w:szCs w:val="32"/>
          <w14:textFill>
            <w14:solidFill>
              <w14:schemeClr w14:val="tx1"/>
            </w14:solidFill>
          </w14:textFill>
        </w:rPr>
        <w:t>我省职称改革有关政策规定，结合我省</w:t>
      </w:r>
      <w:r>
        <w:rPr>
          <w:rFonts w:hint="eastAsia" w:ascii="仿宋" w:hAnsi="仿宋" w:eastAsia="仿宋"/>
          <w:color w:val="000000" w:themeColor="text1"/>
          <w:sz w:val="32"/>
          <w:szCs w:val="32"/>
          <w14:textFill>
            <w14:solidFill>
              <w14:schemeClr w14:val="tx1"/>
            </w14:solidFill>
          </w14:textFill>
        </w:rPr>
        <w:t>实际，制定本条件。</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二、本条件适用于全省基层医疗卫生机构中从事医疗类专业的卫生专业技术人员，含在编或签订正式聘用合同的人员，不含上级机构派出人员。基层医疗卫生机构包括：</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（一）县（市、区）级医疗卫生机构，包括县级公立医院、专业公共卫生机构；</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（二）乡镇（街道）卫生院、社区服务中心（站）、村卫生室；</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（三）县（市、区）卫生健康行政部门审批的医疗卫生机构；</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（四）在县（市）域内登记的省辖市卫生健康行政部门审批的医疗卫生机构。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三、卫生系列医疗类基层副高级职称的名称为基层副主任医师和乡镇社区副主任医师，基层正高级职称的名称为基层主任医师。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基层卫生专业技术人员可申报全省高级职称评审，也可申报基层高级职称评审。其中，乡镇（街道）卫生院、社区服务中心（站）、村卫生室卫生专业技术人员可申报基层副高级职称评审，也可申报乡镇社区副高级职称评审。但同一晋升年度，不能同时申报。卫生系列基层高级职称仅限于在基层医疗卫生机构聘任，乡镇社区副高级职称仅限于在乡镇（街道）卫生院、社区服务中心（站）、村卫生室聘任。基层高级职称聘任满3年的，方可转评其他范围适用的高级职称，任职年限可累计计算。基层副高级职称申报全省正高级职称的，应先取得全省副高级职称。</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五、卫生系列医疗类基层高级职称采取考试与评审相结合的方式，业务水平考试合格者方可报送评审材料。考试成绩三年有效。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乡镇（街道）卫生院、社区服务中心（站）以及村卫生室人员申报乡镇社区副高级职称的，业务水平考试单独划分合格分数线。</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本条件为基层卫生专业技术人员申报和评审委员会评审时掌握的基本条件，评审委员会可依据本条件制定相应的实施办法。用人单位向评审委员会推荐人员的条件，由用人单位根据本条件和单位业务工作实际制定，但不得低于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七、本条件适用专业包括：</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临床类：普通内科、心血管内科、消化内科、神经内科、精神病、血液病、内分泌、肾内科、呼吸内科、职业病、传染病、结核病、肿瘤内科、急诊内科、皮肤与性病、康复医学、小儿内科、全科医学、重症医学、风湿病、普通外科、骨外科、泌尿外科、神经外科、胸心外科、小儿外科、肿瘤外科、烧伤外科、整形科、急诊外科、麻醉学、妇产科、妇女保健、儿童保健、眼科、耳鼻喉科、疼痛学、放射医学、超声医学、病理学、核医学、临床医学检验学、介入治疗、心电图诊断、脑电图诊断、肿瘤放射治疗学、输血</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中医类：中医内科、中医外科、中医肛肠、中医皮肤、中医妇科、中医儿科、针灸、推拿、中医骨伤、中医耳鼻喉、中医眼科、中西医结合内科、中西医结合外科、中西医结合妇科、中西医结合儿科、全科医学（中医类）</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口腔类：口腔医学、口腔内科、口腔外科、口腔修复、口腔正畸</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公共卫生类：流行病、寄生虫病、环境卫生、学校卫生、劳动卫生、放射卫生、地方病控制、健康教育、营养与食品卫生</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适用专业根据卫生健康行业发展和需要适时调整。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分则</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一、申报条件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（一）遵守国家宪法和法律，贯彻新时代卫生与健康工作方针，自觉践行“敬佑生命、救死扶伤、甘于奉献、大爱无疆”的职业精神，具备良好的政治素质、协作精神、敬业精神和医德医风。</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（二）身心健康，心理素质良好，能全面履行岗位职责。</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（三）任现职以来（近5年）年度考核均为合格以上。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（四）取得相应类别的医师资格，并按有关规定注册，取得相应的执业证书。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（五）县（市、区）医院医师申报临床、中医（含中西医结合）、口腔类别副主任医师前须到乡镇卫生院累计服务不少于1年。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（六）聘任现职称以来到省内外上级医疗卫生机构脱产进修（含全科医师岗位培训）。其中申报主任（中）医师须累计满3个月，申报副主任（中）医师须累计满6个月。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（七）申报基层高级职称须在基层医疗卫生机构聘任满1年，申报乡镇社区副高级职称须在乡镇（街道）卫生院、社区服务中心（站）以及村卫生室聘任满4年。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（八）学历和任职年限分别符合以下要求。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1.申报基层副主任医师职称，需具备相应专业大学本科及以上学历或学士及以上学位，受聘担任主治（主管）医师职务满5年；或具备相应专业大专学历，受聘担任主治（主管）医师职务满7年。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2.申报基层主任医师职称，需具备相应专业大学本科及以上学历或学士及以上学位，受聘担任副主任医师职务满5年。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申报乡镇社区副主任医师职称，需具备相应专业大学本科以上学历或学士及以上学位，受聘担任主治（主管）医师职务满4年；或具备相应专业大专学历，受聘担任主治（主管）医师职务满6年；或具备相应专业中专学历，受聘担任主治（主管）医师职务满7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长期扎根在农村基层工作的执业医师，取得中级职称后继续在农村基层医疗卫生机构（乡镇卫生院或村卫生室）服务，连续聘任满10年的，可申请通过“绿色通道”申报乡镇社区副主任医师；其中申报全科医学专业的，可免高级职称业务考试直接申报。</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（九）完成健康科普工作要求。开展健康科普知识宣讲，每年不少于2次；或者在各级卫生健康部门和县级以上医疗机构等新媒体平台发表健康科普文章、音视频作品每年不少于2篇（条）。</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（十）任现职以来完成规定的工作量要求（详见附表1）。</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二、评审条件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（一）专业能力要求。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1.临床、口腔、中医类别副主任医师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用于医疗实践，熟悉本专业相关的法律、法规、标准与技术规范。具有较丰富的基层卫生工作经验，能独立处理常见病和多发病诊疗工作，能参与复杂疑难病例的诊断、抢救、治疗等工作。具有指导本专业下级医师的能力，能对下级医师的病案、诊断报告等进行指导与修改，能主持病房查房讨论。</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将病案作为评价载体，采取随机抽取与个人提供相结合的方式，提供5份申报人主治或者主持的、能够反映其专业技术水平的病案，加强对临床医生执业能力的评价。基于病案首页数据，重点从技术能力、质量安全、资源利用、患者管理四个维度，利用诊治病种范围和例数、手术级别和例数、术后并发症发生率、单病种平均住院日、单病种次均费用等指标，科学准确评价医生的执业能力和水平。其中，中医专业还应基于中医病案首页数据，重点围绕以中医为主治疗的出院患者比例、中药饮片处方比、中医治疗疑难危重病患者数量、中医非药物疗法使用率等中医药特色指标，评价中医医师的中医药诊疗能力和水平。具体指标见附表2。</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2.临床、口腔、中医类别主任医师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医师水平的基础上，系统掌握本专业某一领域的基础理论知识与技术，并有所专长。深入了解本专业国内外现状及发展趋势，不断吸取新理论、新知识、新技术并用于医疗实践。具有丰富的基层卫生工作经验，能独立处理本专业的疾病预防诊治工作，完成复杂疑难病例的诊断、抢救、治疗或突发公共卫生事件的处置工作。具有培训和指导本专业下级医师的能力。</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将病案作为评价载体，采取随机抽取与个人提供相结合的方式，提供10份申报人主治或者主持的、能够反映其专业技术水平的病案，加强对临床医生执业能力的评价。</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基于病案首页数据，重点从技术能力、质量安全、资源利用、患者管理四个维度，利用诊治病种范围和例数、手术级别和例数、术后并发症发生率、单病种平均住院日、单病种次均费用等指标，科学准确评价医生的执业能力和水平。其中，中医专业还应基于中医病案首页数据，重点围绕以中医为主治疗的出院患者比例、中药饮片处方比、中医治疗疑难危重病患者数量、中医非药物疗法使用率等中医药特色指标，评价中医医师的中医药诊疗能力和水平。具体指标见附表2。</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3.公共卫生类别副主任医师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推广应用，熟悉与本专业相关的法律、法规、标准与技术规范。具有较丰富的基层工作经验，能独立解决复杂或重大技术问题，具有指导本专业下级医师的能力。</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基于参与的业务工作内容，重点考核公共卫生现场能力、计划方案制定能力、技术规范和标准指南制定能力、业务管理技术报告撰写能力、健康教育和科普能力、循证决策能力、专业技术成果产出、科研教学能力、完成基本公共卫生服务项目的能力等方面，包含现场流行病学调查报告、疾病与健康危害因素监测（分析预警）报告、制定公共卫生应急处置预案和风险评估报告、业务工作计划、技术指导方案制定等内容。</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4.公共卫生类别主任医师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医师水平的基础上，系统掌握本专业某一领域的基础理论知识与技术，并有所专长。深入了解本专业国内外现状及发展趋势，不断吸取新理论、新知识、新技术并用于实践。具有丰富的基层专业工作经验，能独立解决复杂或重大技术问题，具有指导本专业下级医师的能力。</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基于参与的业务工作内容，重点考核公共卫生现场能力、计划方案制定能力、技术规范和标准指南制定能力、业务管理技术报告撰写能力、健康教育和科普能力、循证决策能力、专业技术成果产出、科研教学能力、完成基本公共卫生服务项目的能力等方面，包含现场流行病学调查报告、疾病与健康危害因素监测（分析预警）报告、制定公共卫生应急处置预案和风险评估报告、业务工作计划、技术指导方案制定等内容。</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（二）工作业绩要求。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工作业绩实行成果代表作制度。申报基层副主任医师和基层主任医师提交任现职以来代表个人专业技术能力和水平的标志性工作业绩2项以上（第1项为必备）；申报乡镇社区副主任医师提交第1项。</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本专业常见病、多发病或临床诊治过程中的疑难、复杂问题、技术难点等形成的临床病案报告、手术/操作视频、专题报告、应急处置情况报告、流行病学调查报告、公共卫生服务报告、突发公共卫生事件总结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（2）率先在本单位或本地区开展的新技术或新项目，解决基层技术难题，并取得良好的医疗服务效益。须附相关原始资料。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（3）结合本专业临床实践，在推荐学术期刊上发表的本专业论文1篇（不少于2500字）。须附相关原始资料。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（4）主持或参与的课题研究报告、获得的科技奖励等。</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（5）吸取新理论、新知识、新技术形成的与本专业相关的发明专利</w:t>
      </w:r>
      <w:r>
        <w:rPr>
          <w:rFonts w:hint="eastAsia" w:ascii="仿宋" w:hAnsi="仿宋" w:eastAsia="仿宋"/>
          <w:color w:val="000000" w:themeColor="text1"/>
          <w:sz w:val="32"/>
          <w:szCs w:val="32"/>
          <w:lang w:val="en-US" w:eastAsia="zh-CN"/>
          <w14:textFill>
            <w14:solidFill>
              <w14:schemeClr w14:val="tx1"/>
            </w14:solidFill>
          </w14:textFill>
        </w:rPr>
        <w:t>1项</w:t>
      </w:r>
      <w:r>
        <w:rPr>
          <w:rFonts w:hint="eastAsia" w:ascii="仿宋" w:hAnsi="仿宋" w:eastAsia="仿宋"/>
          <w:color w:val="000000" w:themeColor="text1"/>
          <w:sz w:val="32"/>
          <w:szCs w:val="32"/>
          <w14:textFill>
            <w14:solidFill>
              <w14:schemeClr w14:val="tx1"/>
            </w14:solidFill>
          </w14:textFill>
        </w:rPr>
        <w:t>（限第1原始发明人）,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lang w:eastAsia="zh-CN"/>
          <w14:textFill>
            <w14:solidFill>
              <w14:schemeClr w14:val="tx1"/>
            </w14:solidFill>
          </w14:textFill>
        </w:rPr>
        <w:t>）入选省级及以上行业主管部门组织实施的中医药人才传承培养项目，并通过结业考核。</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2.主任医师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本专业常见病、多发病或临床诊治过程中的疑难、复杂问题、技术难点等形成的有一定代表性的高质量临床病案报告、手术/操作视频、专题报告、应急处置情况报告、流行病学调查报告、公共卫生服务报告、突发公共卫生事件总结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（2）率先在本地区开展的新技术或新项目，解决基层技术难题，并取得良好的医疗服务效益。须附相关原始资料。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（3）结合本专业临床实践，在推荐学术期刊上发表的本专业论文2篇（每篇不少于2500字）。须附相关原始资料。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（4）主持的课题研究报告、获得的科技奖励等（限第1名）。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（5）吸取新理论、新知识、新技术形成的与本专业相关的发明专利1项（限第1原始发明人）,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（6）参与研究并形成的技术规范、卫生标准、临床指南或专家共识1项。</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lang w:eastAsia="zh-CN"/>
          <w14:textFill>
            <w14:solidFill>
              <w14:schemeClr w14:val="tx1"/>
            </w14:solidFill>
          </w14:textFill>
        </w:rPr>
        <w:t>）入选省级及以上行业主管部门组织实施的中医药人才传承培养项目，并通过结业考核。</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三、申报材料要求</w:t>
      </w:r>
      <w:r>
        <w:rPr>
          <w:rFonts w:ascii="黑体" w:hAnsi="黑体" w:eastAsia="黑体"/>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一）病案。有病房的临床科室医师，须提交任现职近5年主治或主持的能反映本人专业技术水平的病案号50份，每年份数不少于10%，从中随机抽取5份病案。申报主任医师的，须另外提供任现职以来5份有代表性的复杂疑难病案。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专题报告。不设病床的临床科室、非临床科室以及其它公共卫生单位的医师，需每年向单位提交本人在实际工作中解决本专业复杂疑难问题或运用新知识、新技术、新成果开展业务工作的专题报告5份（每份2000字以上），并附原始临床资料，由单位随机抽取5份参加评审（近5年每年抽取1份）。</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附则</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一、本条件所称“以上”“以下”均含本级或本数量。</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二、本条件所称“学历”指国家教育行政部门承认的医学相关专业学历，申报专业应与学历专业一致。取得国（境）外相应学历学位的人员，需提供国家教育部国（境）外学历学位认证书。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临床类别医师取得中医</w:t>
      </w:r>
      <w:r>
        <w:rPr>
          <w:rFonts w:hint="eastAsia" w:ascii="仿宋" w:hAnsi="仿宋" w:eastAsia="仿宋"/>
          <w:color w:val="000000" w:themeColor="text1"/>
          <w:sz w:val="32"/>
          <w:szCs w:val="32"/>
          <w14:textFill>
            <w14:solidFill>
              <w14:schemeClr w14:val="tx1"/>
            </w14:solidFill>
          </w14:textFill>
        </w:rPr>
        <w:t>（含中西医结合）学历的，或中医（含中西医结合）类别医师取得临床医学学历的，只限申报中西医结合专业职称。</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三、本条件规定的申报条件和评审条件应同时具备，病案、专题报告、论文、技术专利、科研成果等业绩均应为聘任现职称以来取得，全日制脱产学习期间取得的业绩不可参评。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所提及的论文均限独著或第一作者，不含通讯作者，出现并列第一作者的文章仅供排名第一者使用。论文发表的刊物不含增刊、特刊、专刊、论文汇集等，综述、个案报道、通讯报道、科普性文章等不作为评审论文对待。SCI论文影响因子小于2.0的视为一篇三类期刊论文，2.0以上小于3.0的视为一篇二类期刊论文，3.0以上的视为一篇一类期刊论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五、跨系列（非卫生系列转评卫生系列）或跨类别（医、药、护、技）转评的，聘任现卫生职称年限仍须符合本条件要求。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六、期刊目录的制定与分类由高评会征求各专业专家意见确定并适时进行动态调整。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七、本条件由河南省人力资源和社会保障厅、河南省卫生健康委员会负责解释。未涉及的事项，按国家和省有关文件规定执行。</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八、本条件自  年  月  日起施行。</w:t>
      </w:r>
    </w:p>
    <w:p>
      <w:pPr>
        <w:widowControl/>
        <w:jc w:val="left"/>
        <w:rPr>
          <w:rFonts w:ascii="仿宋" w:hAnsi="仿宋" w:eastAsia="仿宋"/>
          <w:color w:val="000000" w:themeColor="text1"/>
          <w:sz w:val="32"/>
          <w:szCs w:val="32"/>
          <w14:textFill>
            <w14:solidFill>
              <w14:schemeClr w14:val="tx1"/>
            </w14:solidFill>
          </w14:textFill>
        </w:rPr>
        <w:sectPr>
          <w:pgSz w:w="11906" w:h="16838"/>
          <w:pgMar w:top="1440" w:right="1800" w:bottom="1440" w:left="1800" w:header="851" w:footer="992" w:gutter="0"/>
          <w:cols w:space="425" w:num="1"/>
          <w:docGrid w:type="lines" w:linePitch="312" w:charSpace="0"/>
        </w:sectPr>
      </w:pPr>
      <w:r>
        <w:rPr>
          <w:rFonts w:ascii="仿宋" w:hAnsi="仿宋" w:eastAsia="仿宋"/>
          <w:color w:val="000000" w:themeColor="text1"/>
          <w:sz w:val="32"/>
          <w:szCs w:val="32"/>
          <w14:textFill>
            <w14:solidFill>
              <w14:schemeClr w14:val="tx1"/>
            </w14:solidFill>
          </w14:textFill>
        </w:rPr>
        <w:br w:type="page"/>
      </w:r>
    </w:p>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r>
        <w:rPr>
          <w:rFonts w:hint="eastAsia" w:ascii="黑体" w:hAnsi="黑体" w:eastAsia="黑体"/>
          <w:color w:val="000000" w:themeColor="text1"/>
          <w:sz w:val="32"/>
          <w:szCs w:val="32"/>
          <w14:textFill>
            <w14:solidFill>
              <w14:schemeClr w14:val="tx1"/>
            </w14:solidFill>
          </w14:textFill>
        </w:rPr>
        <w:t>1</w:t>
      </w:r>
    </w:p>
    <w:p>
      <w:pPr>
        <w:jc w:val="center"/>
        <w:rPr>
          <w:rFonts w:ascii="LinTimes" w:hAnsi="LinTimes" w:cs="LinTimes"/>
          <w:b/>
          <w:color w:val="000000" w:themeColor="text1"/>
          <w:kern w:val="0"/>
          <w:sz w:val="44"/>
          <w:szCs w:val="44"/>
          <w:lang w:bidi="ar"/>
          <w14:textFill>
            <w14:solidFill>
              <w14:schemeClr w14:val="tx1"/>
            </w14:solidFill>
          </w14:textFill>
        </w:rPr>
      </w:pPr>
      <w:r>
        <w:rPr>
          <w:rFonts w:ascii="LinTimes" w:hAnsi="LinTimes" w:cs="LinTimes"/>
          <w:b/>
          <w:color w:val="000000" w:themeColor="text1"/>
          <w:kern w:val="0"/>
          <w:sz w:val="44"/>
          <w:szCs w:val="44"/>
          <w:lang w:bidi="ar"/>
          <w14:textFill>
            <w14:solidFill>
              <w14:schemeClr w14:val="tx1"/>
            </w14:solidFill>
          </w14:textFill>
        </w:rPr>
        <w:t>医疗类专业晋升</w:t>
      </w:r>
      <w:r>
        <w:rPr>
          <w:rFonts w:hint="eastAsia" w:ascii="LinTimes" w:hAnsi="LinTimes" w:cs="LinTimes"/>
          <w:b/>
          <w:color w:val="000000" w:themeColor="text1"/>
          <w:kern w:val="0"/>
          <w:sz w:val="44"/>
          <w:szCs w:val="44"/>
          <w:lang w:bidi="ar"/>
          <w14:textFill>
            <w14:solidFill>
              <w14:schemeClr w14:val="tx1"/>
            </w14:solidFill>
          </w14:textFill>
        </w:rPr>
        <w:t>基层</w:t>
      </w:r>
      <w:r>
        <w:rPr>
          <w:rFonts w:ascii="LinTimes" w:hAnsi="LinTimes" w:cs="LinTimes"/>
          <w:b/>
          <w:color w:val="000000" w:themeColor="text1"/>
          <w:kern w:val="0"/>
          <w:sz w:val="44"/>
          <w:szCs w:val="44"/>
          <w:lang w:bidi="ar"/>
          <w14:textFill>
            <w14:solidFill>
              <w14:schemeClr w14:val="tx1"/>
            </w14:solidFill>
          </w14:textFill>
        </w:rPr>
        <w:t>高级职称工作量要求</w:t>
      </w:r>
    </w:p>
    <w:tbl>
      <w:tblPr>
        <w:tblStyle w:val="7"/>
        <w:tblW w:w="14499" w:type="dxa"/>
        <w:tblInd w:w="0" w:type="dxa"/>
        <w:tblLayout w:type="fixed"/>
        <w:tblCellMar>
          <w:top w:w="15" w:type="dxa"/>
          <w:left w:w="15" w:type="dxa"/>
          <w:bottom w:w="15" w:type="dxa"/>
          <w:right w:w="15" w:type="dxa"/>
        </w:tblCellMar>
      </w:tblPr>
      <w:tblGrid>
        <w:gridCol w:w="750"/>
        <w:gridCol w:w="1038"/>
        <w:gridCol w:w="2626"/>
        <w:gridCol w:w="975"/>
        <w:gridCol w:w="1920"/>
        <w:gridCol w:w="1726"/>
        <w:gridCol w:w="5464"/>
      </w:tblGrid>
      <w:tr>
        <w:tblPrEx>
          <w:tblLayout w:type="fixed"/>
          <w:tblCellMar>
            <w:top w:w="15" w:type="dxa"/>
            <w:left w:w="15" w:type="dxa"/>
            <w:bottom w:w="15" w:type="dxa"/>
            <w:right w:w="15" w:type="dxa"/>
          </w:tblCellMar>
        </w:tblPrEx>
        <w:trPr>
          <w:trHeight w:val="850" w:hRule="exact"/>
        </w:trPr>
        <w:tc>
          <w:tcPr>
            <w:tcW w:w="750" w:type="dxa"/>
            <w:tcBorders>
              <w:top w:val="single" w:color="000000" w:sz="4" w:space="0"/>
              <w:left w:val="single" w:color="000000" w:sz="4" w:space="0"/>
              <w:bottom w:val="single" w:color="000000" w:sz="4" w:space="0"/>
              <w:right w:val="single" w:color="000000" w:sz="4" w:space="0"/>
            </w:tcBorders>
            <w:vAlign w:val="center"/>
          </w:tcPr>
          <w:p>
            <w:pPr>
              <w:rPr>
                <w:rFonts w:ascii="LinTimes" w:hAnsi="LinTimes" w:eastAsia="黑体" w:cs="LinTimes"/>
                <w:color w:val="000000" w:themeColor="text1"/>
                <w:sz w:val="24"/>
                <w:szCs w:val="24"/>
                <w14:textFill>
                  <w14:solidFill>
                    <w14:schemeClr w14:val="tx1"/>
                  </w14:solidFill>
                </w14:textFill>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专业</w:t>
            </w:r>
            <w:r>
              <w:rPr>
                <w:rFonts w:ascii="LinTimes" w:hAnsi="LinTimes" w:eastAsia="黑体" w:cs="LinTimes"/>
                <w:color w:val="000000" w:themeColor="text1"/>
                <w:kern w:val="0"/>
                <w:sz w:val="24"/>
                <w:szCs w:val="24"/>
                <w:lang w:bidi="ar"/>
                <w14:textFill>
                  <w14:solidFill>
                    <w14:schemeClr w14:val="tx1"/>
                  </w14:solidFill>
                </w14:textFill>
              </w:rPr>
              <w:br w:type="textWrapping"/>
            </w:r>
            <w:r>
              <w:rPr>
                <w:rFonts w:ascii="LinTimes" w:hAnsi="LinTimes" w:eastAsia="黑体" w:cs="LinTimes"/>
                <w:color w:val="000000" w:themeColor="text1"/>
                <w:kern w:val="0"/>
                <w:sz w:val="24"/>
                <w:szCs w:val="24"/>
                <w:lang w:bidi="ar"/>
                <w14:textFill>
                  <w14:solidFill>
                    <w14:schemeClr w14:val="tx1"/>
                  </w14:solidFill>
                </w14:textFill>
              </w:rPr>
              <w:t>类别</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评价项目</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单位</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副主任医师</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主任医师</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适用专业</w:t>
            </w:r>
          </w:p>
        </w:tc>
      </w:tr>
      <w:tr>
        <w:tblPrEx>
          <w:tblLayout w:type="fixed"/>
          <w:tblCellMar>
            <w:top w:w="15" w:type="dxa"/>
            <w:left w:w="15" w:type="dxa"/>
            <w:bottom w:w="15" w:type="dxa"/>
            <w:right w:w="15" w:type="dxa"/>
          </w:tblCellMar>
        </w:tblPrEx>
        <w:trPr>
          <w:trHeight w:val="1259" w:hRule="atLeast"/>
        </w:trPr>
        <w:tc>
          <w:tcPr>
            <w:tcW w:w="7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w:t>
            </w:r>
          </w:p>
        </w:tc>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非手术为主临床专业</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600</w:t>
            </w:r>
          </w:p>
        </w:tc>
        <w:tc>
          <w:tcPr>
            <w:tcW w:w="5464"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普通内科、心血管内科、消化内科、神经内科、精神病、血液病、内分泌、肾内科</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呼吸内科、职业病</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传染病、结核病</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肿瘤内科、小儿内科</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风湿</w:t>
            </w:r>
            <w:r>
              <w:rPr>
                <w:rFonts w:hint="eastAsia" w:ascii="仿宋" w:hAnsi="仿宋" w:eastAsia="仿宋" w:cs="LinTimes"/>
                <w:color w:val="000000" w:themeColor="text1"/>
                <w:kern w:val="0"/>
                <w:sz w:val="24"/>
                <w:szCs w:val="24"/>
                <w:lang w:bidi="ar"/>
                <w14:textFill>
                  <w14:solidFill>
                    <w14:schemeClr w14:val="tx1"/>
                  </w14:solidFill>
                </w14:textFill>
              </w:rPr>
              <w:t>病、</w:t>
            </w:r>
            <w:r>
              <w:rPr>
                <w:rFonts w:ascii="仿宋" w:hAnsi="仿宋" w:eastAsia="仿宋" w:cs="LinTimes"/>
                <w:color w:val="000000" w:themeColor="text1"/>
                <w:kern w:val="0"/>
                <w:sz w:val="24"/>
                <w:szCs w:val="24"/>
                <w:lang w:bidi="ar"/>
                <w14:textFill>
                  <w14:solidFill>
                    <w14:schemeClr w14:val="tx1"/>
                  </w14:solidFill>
                </w14:textFill>
              </w:rPr>
              <w:t>皮肤与性病、康复医学、疼痛学、全科医学。</w:t>
            </w:r>
          </w:p>
        </w:tc>
      </w:tr>
      <w:tr>
        <w:tblPrEx>
          <w:tblLayout w:type="fixed"/>
          <w:tblCellMar>
            <w:top w:w="15" w:type="dxa"/>
            <w:left w:w="15" w:type="dxa"/>
            <w:bottom w:w="15" w:type="dxa"/>
            <w:right w:w="15" w:type="dxa"/>
          </w:tblCellMar>
        </w:tblPrEx>
        <w:trPr>
          <w:trHeight w:val="1095"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p>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pacing w:val="-23"/>
                <w:kern w:val="0"/>
                <w:sz w:val="24"/>
                <w:szCs w:val="24"/>
                <w:lang w:bidi="ar"/>
                <w14:textFill>
                  <w14:solidFill>
                    <w14:schemeClr w14:val="tx1"/>
                  </w14:solidFill>
                </w14:textFill>
              </w:rPr>
              <w:t>（参与或作为治疗组长）</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5464"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953"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无病房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皮肤与性病学、精神病学、康复医学、疼痛学</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妇女保健</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儿童保健等</w:t>
            </w:r>
          </w:p>
        </w:tc>
      </w:tr>
      <w:tr>
        <w:tblPrEx>
          <w:tblLayout w:type="fixed"/>
          <w:tblCellMar>
            <w:top w:w="15" w:type="dxa"/>
            <w:left w:w="15" w:type="dxa"/>
            <w:bottom w:w="15" w:type="dxa"/>
            <w:right w:w="15" w:type="dxa"/>
          </w:tblCellMar>
        </w:tblPrEx>
        <w:trPr>
          <w:trHeight w:val="823"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2000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2000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无病房：普通内科、小儿内科、全科医学</w:t>
            </w:r>
          </w:p>
        </w:tc>
      </w:tr>
      <w:tr>
        <w:tblPrEx>
          <w:tblLayout w:type="fixed"/>
          <w:tblCellMar>
            <w:top w:w="15" w:type="dxa"/>
            <w:left w:w="15" w:type="dxa"/>
            <w:bottom w:w="15" w:type="dxa"/>
            <w:right w:w="15" w:type="dxa"/>
          </w:tblCellMar>
        </w:tblPrEx>
        <w:trPr>
          <w:trHeight w:val="1079" w:hRule="atLeast"/>
        </w:trPr>
        <w:tc>
          <w:tcPr>
            <w:tcW w:w="750" w:type="dxa"/>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手术/操作人次</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Style w:val="11"/>
                <w:rFonts w:hint="default" w:ascii="仿宋" w:hAnsi="仿宋" w:eastAsia="仿宋" w:cs="LinTimes"/>
                <w:color w:val="000000" w:themeColor="text1"/>
                <w:sz w:val="24"/>
                <w:szCs w:val="24"/>
                <w:lang w:bidi="ar"/>
                <w14:textFill>
                  <w14:solidFill>
                    <w14:schemeClr w14:val="tx1"/>
                  </w14:solidFill>
                </w14:textFill>
              </w:rPr>
              <w:t>内镜 5000；</w:t>
            </w:r>
          </w:p>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Style w:val="11"/>
                <w:rFonts w:hint="default" w:ascii="仿宋" w:hAnsi="仿宋" w:eastAsia="仿宋" w:cs="LinTimes"/>
                <w:color w:val="000000" w:themeColor="text1"/>
                <w:sz w:val="24"/>
                <w:szCs w:val="24"/>
                <w:lang w:bidi="ar"/>
                <w14:textFill>
                  <w14:solidFill>
                    <w14:schemeClr w14:val="tx1"/>
                  </w14:solidFill>
                </w14:textFill>
              </w:rPr>
              <w:t>支气管镜200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Style w:val="11"/>
                <w:rFonts w:hint="default" w:ascii="仿宋" w:hAnsi="仿宋" w:eastAsia="仿宋" w:cs="LinTimes"/>
                <w:color w:val="000000" w:themeColor="text1"/>
                <w:sz w:val="24"/>
                <w:szCs w:val="24"/>
                <w:lang w:bidi="ar"/>
                <w14:textFill>
                  <w14:solidFill>
                    <w14:schemeClr w14:val="tx1"/>
                  </w14:solidFill>
                </w14:textFill>
              </w:rPr>
              <w:t>内镜 5000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消化内科学、呼吸内科学</w:t>
            </w:r>
          </w:p>
        </w:tc>
      </w:tr>
      <w:tr>
        <w:tblPrEx>
          <w:tblLayout w:type="fixed"/>
          <w:tblCellMar>
            <w:top w:w="15" w:type="dxa"/>
            <w:left w:w="15" w:type="dxa"/>
            <w:bottom w:w="15" w:type="dxa"/>
            <w:right w:w="15" w:type="dxa"/>
          </w:tblCellMar>
        </w:tblPrEx>
        <w:trPr>
          <w:trHeight w:val="1079" w:hRule="atLeast"/>
        </w:trPr>
        <w:tc>
          <w:tcPr>
            <w:tcW w:w="750" w:type="dxa"/>
            <w:tcBorders>
              <w:top w:val="single" w:color="auto" w:sz="4" w:space="0"/>
              <w:left w:val="single" w:color="000000" w:sz="4" w:space="0"/>
              <w:bottom w:val="single" w:color="auto" w:sz="4" w:space="0"/>
              <w:right w:val="single" w:color="000000" w:sz="4" w:space="0"/>
            </w:tcBorders>
            <w:vAlign w:val="center"/>
          </w:tcPr>
          <w:p>
            <w:pPr>
              <w:rPr>
                <w:rFonts w:ascii="LinTimes" w:hAnsi="LinTimes" w:eastAsia="黑体" w:cs="LinTimes"/>
                <w:color w:val="000000" w:themeColor="text1"/>
                <w:sz w:val="24"/>
                <w:szCs w:val="24"/>
                <w14:textFill>
                  <w14:solidFill>
                    <w14:schemeClr w14:val="tx1"/>
                  </w14:solidFill>
                </w14:textFill>
              </w:rPr>
            </w:pPr>
          </w:p>
        </w:tc>
        <w:tc>
          <w:tcPr>
            <w:tcW w:w="103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专业</w:t>
            </w:r>
            <w:r>
              <w:rPr>
                <w:rFonts w:ascii="LinTimes" w:hAnsi="LinTimes" w:eastAsia="黑体" w:cs="LinTimes"/>
                <w:color w:val="000000" w:themeColor="text1"/>
                <w:kern w:val="0"/>
                <w:sz w:val="24"/>
                <w:szCs w:val="24"/>
                <w:lang w:bidi="ar"/>
                <w14:textFill>
                  <w14:solidFill>
                    <w14:schemeClr w14:val="tx1"/>
                  </w14:solidFill>
                </w14:textFill>
              </w:rPr>
              <w:br w:type="textWrapping"/>
            </w:r>
            <w:r>
              <w:rPr>
                <w:rFonts w:ascii="LinTimes" w:hAnsi="LinTimes" w:eastAsia="黑体" w:cs="LinTimes"/>
                <w:color w:val="000000" w:themeColor="text1"/>
                <w:kern w:val="0"/>
                <w:sz w:val="24"/>
                <w:szCs w:val="24"/>
                <w:lang w:bidi="ar"/>
                <w14:textFill>
                  <w14:solidFill>
                    <w14:schemeClr w14:val="tx1"/>
                  </w14:solidFill>
                </w14:textFill>
              </w:rPr>
              <w:t>类别</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评价项目</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单位</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副主任医师</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主任医师</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适用专业</w:t>
            </w:r>
          </w:p>
        </w:tc>
      </w:tr>
      <w:tr>
        <w:tblPrEx>
          <w:tblLayout w:type="fixed"/>
          <w:tblCellMar>
            <w:top w:w="15" w:type="dxa"/>
            <w:left w:w="15" w:type="dxa"/>
            <w:bottom w:w="15" w:type="dxa"/>
            <w:right w:w="15" w:type="dxa"/>
          </w:tblCellMar>
        </w:tblPrEx>
        <w:trPr>
          <w:trHeight w:val="990" w:hRule="atLeast"/>
        </w:trPr>
        <w:tc>
          <w:tcPr>
            <w:tcW w:w="750" w:type="dxa"/>
            <w:vMerge w:val="restart"/>
            <w:tcBorders>
              <w:top w:val="single" w:color="auto" w:sz="4" w:space="0"/>
              <w:left w:val="single" w:color="000000" w:sz="4" w:space="0"/>
              <w:right w:val="single" w:color="000000" w:sz="4" w:space="0"/>
            </w:tcBorders>
            <w:vAlign w:val="center"/>
          </w:tcPr>
          <w:p>
            <w:pPr>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w:t>
            </w:r>
          </w:p>
        </w:tc>
        <w:tc>
          <w:tcPr>
            <w:tcW w:w="1038" w:type="dxa"/>
            <w:vMerge w:val="restart"/>
            <w:tcBorders>
              <w:top w:val="single" w:color="000000" w:sz="4" w:space="0"/>
              <w:left w:val="single" w:color="000000" w:sz="4" w:space="0"/>
              <w:right w:val="single" w:color="000000" w:sz="4" w:space="0"/>
            </w:tcBorders>
            <w:vAlign w:val="center"/>
          </w:tcPr>
          <w:p>
            <w:pPr>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手术为主临床专业</w:t>
            </w:r>
          </w:p>
        </w:tc>
        <w:tc>
          <w:tcPr>
            <w:tcW w:w="2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个</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普通外科、骨外科、泌尿外科、小儿外科、肿瘤外科、妇产科、眼科</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耳鼻喉科</w:t>
            </w:r>
          </w:p>
        </w:tc>
      </w:tr>
      <w:tr>
        <w:tblPrEx>
          <w:tblLayout w:type="fixed"/>
          <w:tblCellMar>
            <w:top w:w="15" w:type="dxa"/>
            <w:left w:w="15" w:type="dxa"/>
            <w:bottom w:w="15" w:type="dxa"/>
            <w:right w:w="15" w:type="dxa"/>
          </w:tblCellMar>
        </w:tblPrEx>
        <w:trPr>
          <w:trHeight w:val="663" w:hRule="atLeast"/>
        </w:trPr>
        <w:tc>
          <w:tcPr>
            <w:tcW w:w="750" w:type="dxa"/>
            <w:vMerge w:val="continue"/>
            <w:tcBorders>
              <w:left w:val="single" w:color="000000" w:sz="4" w:space="0"/>
              <w:right w:val="single" w:color="000000" w:sz="4" w:space="0"/>
            </w:tcBorders>
            <w:vAlign w:val="center"/>
          </w:tcPr>
          <w:p>
            <w:pPr>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5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Style w:val="11"/>
                <w:rFonts w:hint="default" w:ascii="仿宋" w:hAnsi="仿宋" w:eastAsia="仿宋" w:cs="LinTimes"/>
                <w:color w:val="000000" w:themeColor="text1"/>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神经外科、胸心外科、烧伤外科、整形外科</w:t>
            </w:r>
          </w:p>
        </w:tc>
      </w:tr>
      <w:tr>
        <w:tblPrEx>
          <w:tblLayout w:type="fixed"/>
          <w:tblCellMar>
            <w:top w:w="15" w:type="dxa"/>
            <w:left w:w="15" w:type="dxa"/>
            <w:bottom w:w="15" w:type="dxa"/>
            <w:right w:w="15" w:type="dxa"/>
          </w:tblCellMar>
        </w:tblPrEx>
        <w:trPr>
          <w:trHeight w:val="517" w:hRule="atLeast"/>
        </w:trPr>
        <w:tc>
          <w:tcPr>
            <w:tcW w:w="750"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2626" w:type="dxa"/>
            <w:vMerge w:val="restart"/>
            <w:tcBorders>
              <w:top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p>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pacing w:val="-23"/>
                <w:kern w:val="0"/>
                <w:sz w:val="24"/>
                <w:szCs w:val="24"/>
                <w:lang w:bidi="ar"/>
                <w14:textFill>
                  <w14:solidFill>
                    <w14:schemeClr w14:val="tx1"/>
                  </w14:solidFill>
                </w14:textFill>
              </w:rPr>
              <w:t>（参与或作为治疗组长）</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胸心外科（心外）、神经外科、烧伤外科</w:t>
            </w:r>
          </w:p>
        </w:tc>
      </w:tr>
      <w:tr>
        <w:tblPrEx>
          <w:tblLayout w:type="fixed"/>
          <w:tblCellMar>
            <w:top w:w="15" w:type="dxa"/>
            <w:left w:w="15" w:type="dxa"/>
            <w:bottom w:w="15" w:type="dxa"/>
            <w:right w:w="15" w:type="dxa"/>
          </w:tblCellMar>
        </w:tblPrEx>
        <w:trPr>
          <w:trHeight w:val="670" w:hRule="atLeast"/>
        </w:trPr>
        <w:tc>
          <w:tcPr>
            <w:tcW w:w="750"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2000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普通外科、骨外科、妇产科、眼科</w:t>
            </w:r>
          </w:p>
        </w:tc>
      </w:tr>
      <w:tr>
        <w:tblPrEx>
          <w:tblLayout w:type="fixed"/>
          <w:tblCellMar>
            <w:top w:w="15" w:type="dxa"/>
            <w:left w:w="15" w:type="dxa"/>
            <w:bottom w:w="15" w:type="dxa"/>
            <w:right w:w="15" w:type="dxa"/>
          </w:tblCellMar>
        </w:tblPrEx>
        <w:trPr>
          <w:trHeight w:val="856" w:hRule="atLeast"/>
        </w:trPr>
        <w:tc>
          <w:tcPr>
            <w:tcW w:w="750"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600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胸心外科（胸外）、泌尿外科、耳鼻喉科、肿瘤外科、小儿外科</w:t>
            </w:r>
          </w:p>
        </w:tc>
      </w:tr>
      <w:tr>
        <w:tblPrEx>
          <w:tblLayout w:type="fixed"/>
          <w:tblCellMar>
            <w:top w:w="15" w:type="dxa"/>
            <w:left w:w="15" w:type="dxa"/>
            <w:bottom w:w="15" w:type="dxa"/>
            <w:right w:w="15" w:type="dxa"/>
          </w:tblCellMar>
        </w:tblPrEx>
        <w:trPr>
          <w:trHeight w:val="621" w:hRule="atLeast"/>
        </w:trPr>
        <w:tc>
          <w:tcPr>
            <w:tcW w:w="750"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p>
        </w:tc>
        <w:tc>
          <w:tcPr>
            <w:tcW w:w="2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出院患者手术/操作人次</w:t>
            </w:r>
            <w:r>
              <w:rPr>
                <w:rFonts w:hint="eastAsia" w:ascii="仿宋" w:hAnsi="仿宋" w:eastAsia="仿宋" w:cs="LinTimes"/>
                <w:kern w:val="0"/>
                <w:sz w:val="24"/>
                <w:szCs w:val="24"/>
                <w:lang w:bidi="ar"/>
              </w:rPr>
              <w:t>（申报基层副高的，三四级手术不少于</w:t>
            </w:r>
            <w:r>
              <w:rPr>
                <w:rFonts w:hint="eastAsia" w:ascii="仿宋" w:hAnsi="仿宋" w:eastAsia="仿宋" w:cs="LinTimes"/>
                <w:kern w:val="0"/>
                <w:sz w:val="24"/>
                <w:szCs w:val="24"/>
                <w:lang w:val="en-US" w:eastAsia="zh-CN" w:bidi="ar"/>
              </w:rPr>
              <w:t>40</w:t>
            </w:r>
            <w:r>
              <w:rPr>
                <w:rFonts w:hint="eastAsia" w:ascii="仿宋" w:hAnsi="仿宋" w:eastAsia="仿宋" w:cs="LinTimes"/>
                <w:kern w:val="0"/>
                <w:sz w:val="24"/>
                <w:szCs w:val="24"/>
                <w:lang w:bidi="ar"/>
              </w:rPr>
              <w:t>%；申报正高的，三四级手术不少于</w:t>
            </w:r>
            <w:r>
              <w:rPr>
                <w:rFonts w:hint="eastAsia" w:ascii="仿宋" w:hAnsi="仿宋" w:eastAsia="仿宋" w:cs="LinTimes"/>
                <w:kern w:val="0"/>
                <w:sz w:val="24"/>
                <w:szCs w:val="24"/>
                <w:lang w:val="en-US" w:eastAsia="zh-CN" w:bidi="ar"/>
              </w:rPr>
              <w:t>5</w:t>
            </w:r>
            <w:r>
              <w:rPr>
                <w:rFonts w:hint="eastAsia" w:ascii="仿宋" w:hAnsi="仿宋" w:eastAsia="仿宋" w:cs="LinTimes"/>
                <w:kern w:val="0"/>
                <w:sz w:val="24"/>
                <w:szCs w:val="24"/>
                <w:lang w:bidi="ar"/>
              </w:rPr>
              <w:t>0%；申报乡镇社区副高的，比例不作要求）</w:t>
            </w:r>
          </w:p>
        </w:tc>
        <w:tc>
          <w:tcPr>
            <w:tcW w:w="97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普通外科、骨外科、眼科、整形外科、计划生育</w:t>
            </w:r>
          </w:p>
        </w:tc>
      </w:tr>
      <w:tr>
        <w:tblPrEx>
          <w:tblLayout w:type="fixed"/>
          <w:tblCellMar>
            <w:top w:w="15" w:type="dxa"/>
            <w:left w:w="15" w:type="dxa"/>
            <w:bottom w:w="15" w:type="dxa"/>
            <w:right w:w="15" w:type="dxa"/>
          </w:tblCellMar>
        </w:tblPrEx>
        <w:trPr>
          <w:trHeight w:val="783" w:hRule="atLeast"/>
        </w:trPr>
        <w:tc>
          <w:tcPr>
            <w:tcW w:w="750"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胸心外科（胸外），泌尿外科、小儿外科、耳鼻喉科、肿瘤外科、妇产科</w:t>
            </w:r>
          </w:p>
        </w:tc>
      </w:tr>
      <w:tr>
        <w:tblPrEx>
          <w:tblLayout w:type="fixed"/>
          <w:tblCellMar>
            <w:top w:w="15" w:type="dxa"/>
            <w:left w:w="15" w:type="dxa"/>
            <w:bottom w:w="15" w:type="dxa"/>
            <w:right w:w="15" w:type="dxa"/>
          </w:tblCellMar>
        </w:tblPrEx>
        <w:trPr>
          <w:trHeight w:val="701" w:hRule="atLeast"/>
        </w:trPr>
        <w:tc>
          <w:tcPr>
            <w:tcW w:w="750"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975"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200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胸心外科（心外）、神经外科、烧伤外科</w:t>
            </w:r>
          </w:p>
        </w:tc>
      </w:tr>
      <w:tr>
        <w:tblPrEx>
          <w:tblLayout w:type="fixed"/>
          <w:tblCellMar>
            <w:top w:w="15" w:type="dxa"/>
            <w:left w:w="15" w:type="dxa"/>
            <w:bottom w:w="15" w:type="dxa"/>
            <w:right w:w="15" w:type="dxa"/>
          </w:tblCellMar>
        </w:tblPrEx>
        <w:trPr>
          <w:trHeight w:val="824" w:hRule="atLeast"/>
        </w:trPr>
        <w:tc>
          <w:tcPr>
            <w:tcW w:w="750"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r>
              <w:rPr>
                <w:rFonts w:hint="eastAsia" w:ascii="仿宋" w:hAnsi="仿宋" w:eastAsia="仿宋" w:cs="LinTimes"/>
                <w:color w:val="000000" w:themeColor="text1"/>
                <w:sz w:val="24"/>
                <w:szCs w:val="24"/>
                <w14:textFill>
                  <w14:solidFill>
                    <w14:schemeClr w14:val="tx1"/>
                  </w14:solidFill>
                </w14:textFill>
              </w:rPr>
              <w:t>门诊工作量</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rPr>
                <w:rFonts w:ascii="仿宋" w:hAnsi="仿宋" w:eastAsia="仿宋" w:cs="LinTimes"/>
                <w:color w:val="000000" w:themeColor="text1"/>
                <w:sz w:val="24"/>
                <w:szCs w:val="24"/>
                <w14:textFill>
                  <w14:solidFill>
                    <w14:schemeClr w14:val="tx1"/>
                  </w14:solidFill>
                </w14:textFill>
              </w:rPr>
            </w:pPr>
            <w:r>
              <w:rPr>
                <w:rFonts w:hint="eastAsia"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2000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2000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auto"/>
                <w:kern w:val="0"/>
                <w:sz w:val="24"/>
                <w:szCs w:val="24"/>
                <w:lang w:bidi="ar"/>
              </w:rPr>
              <w:t>无病房：普通外科、骨外科、妇产科、眼科、耳鼻喉科</w:t>
            </w:r>
          </w:p>
        </w:tc>
      </w:tr>
      <w:tr>
        <w:tblPrEx>
          <w:tblLayout w:type="fixed"/>
          <w:tblCellMar>
            <w:top w:w="15" w:type="dxa"/>
            <w:left w:w="15" w:type="dxa"/>
            <w:bottom w:w="15" w:type="dxa"/>
            <w:right w:w="15" w:type="dxa"/>
          </w:tblCellMar>
        </w:tblPrEx>
        <w:trPr>
          <w:trHeight w:val="824" w:hRule="atLeast"/>
        </w:trPr>
        <w:tc>
          <w:tcPr>
            <w:tcW w:w="750" w:type="dxa"/>
            <w:tcBorders>
              <w:top w:val="single" w:color="auto" w:sz="4" w:space="0"/>
              <w:left w:val="single" w:color="000000" w:sz="4" w:space="0"/>
              <w:bottom w:val="single" w:color="000000" w:sz="4" w:space="0"/>
              <w:right w:val="single" w:color="000000" w:sz="4" w:space="0"/>
            </w:tcBorders>
            <w:vAlign w:val="center"/>
          </w:tcPr>
          <w:p>
            <w:pPr>
              <w:widowControl/>
              <w:spacing w:line="320" w:lineRule="exact"/>
              <w:jc w:val="center"/>
              <w:rPr>
                <w:rFonts w:ascii="LinTimes" w:hAnsi="LinTimes" w:eastAsia="仿宋_GB2312" w:cs="LinTimes"/>
                <w:color w:val="000000" w:themeColor="text1"/>
                <w:sz w:val="24"/>
                <w:szCs w:val="24"/>
                <w14:textFill>
                  <w14:solidFill>
                    <w14:schemeClr w14:val="tx1"/>
                  </w14:solidFill>
                </w14:textFill>
              </w:rPr>
            </w:pPr>
          </w:p>
        </w:tc>
        <w:tc>
          <w:tcPr>
            <w:tcW w:w="103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专业</w:t>
            </w:r>
            <w:r>
              <w:rPr>
                <w:rFonts w:ascii="LinTimes" w:hAnsi="LinTimes" w:eastAsia="黑体" w:cs="LinTimes"/>
                <w:color w:val="000000" w:themeColor="text1"/>
                <w:kern w:val="0"/>
                <w:sz w:val="24"/>
                <w:szCs w:val="24"/>
                <w:lang w:bidi="ar"/>
                <w14:textFill>
                  <w14:solidFill>
                    <w14:schemeClr w14:val="tx1"/>
                  </w14:solidFill>
                </w14:textFill>
              </w:rPr>
              <w:br w:type="textWrapping"/>
            </w:r>
            <w:r>
              <w:rPr>
                <w:rFonts w:ascii="LinTimes" w:hAnsi="LinTimes" w:eastAsia="黑体" w:cs="LinTimes"/>
                <w:color w:val="000000" w:themeColor="text1"/>
                <w:kern w:val="0"/>
                <w:sz w:val="24"/>
                <w:szCs w:val="24"/>
                <w:lang w:bidi="ar"/>
                <w14:textFill>
                  <w14:solidFill>
                    <w14:schemeClr w14:val="tx1"/>
                  </w14:solidFill>
                </w14:textFill>
              </w:rPr>
              <w:t>类别</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评价项目</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单位</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副主任医师</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主任医师</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适用专业</w:t>
            </w:r>
          </w:p>
        </w:tc>
      </w:tr>
      <w:tr>
        <w:tblPrEx>
          <w:tblLayout w:type="fixed"/>
          <w:tblCellMar>
            <w:top w:w="15" w:type="dxa"/>
            <w:left w:w="15" w:type="dxa"/>
            <w:bottom w:w="15" w:type="dxa"/>
            <w:right w:w="15" w:type="dxa"/>
          </w:tblCellMar>
        </w:tblPrEx>
        <w:trPr>
          <w:trHeight w:val="773" w:hRule="atLeast"/>
        </w:trPr>
        <w:tc>
          <w:tcPr>
            <w:tcW w:w="75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w:t>
            </w:r>
          </w:p>
        </w:tc>
        <w:tc>
          <w:tcPr>
            <w:tcW w:w="1038"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其他临床专业</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参与诊疗患者人数</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1000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重症医学、麻醉学、疼痛学、急诊医学、介入治疗</w:t>
            </w:r>
            <w:r>
              <w:rPr>
                <w:rFonts w:hint="eastAsia" w:ascii="仿宋" w:hAnsi="仿宋" w:eastAsia="仿宋" w:cs="LinTimes"/>
                <w:color w:val="000000" w:themeColor="text1"/>
                <w:kern w:val="0"/>
                <w:sz w:val="24"/>
                <w:szCs w:val="24"/>
                <w:lang w:bidi="ar"/>
                <w14:textFill>
                  <w14:solidFill>
                    <w14:schemeClr w14:val="tx1"/>
                  </w14:solidFill>
                </w14:textFill>
              </w:rPr>
              <w:t>、肿瘤放射治疗学、临床医学检验学、输血</w:t>
            </w:r>
          </w:p>
        </w:tc>
      </w:tr>
      <w:tr>
        <w:tblPrEx>
          <w:tblLayout w:type="fixed"/>
          <w:tblCellMar>
            <w:top w:w="15" w:type="dxa"/>
            <w:left w:w="15" w:type="dxa"/>
            <w:bottom w:w="15" w:type="dxa"/>
            <w:right w:w="15" w:type="dxa"/>
          </w:tblCellMar>
        </w:tblPrEx>
        <w:trPr>
          <w:trHeight w:val="671"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签发检查报告份数</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7500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临床医学检验学</w:t>
            </w:r>
          </w:p>
        </w:tc>
      </w:tr>
      <w:tr>
        <w:tblPrEx>
          <w:tblLayout w:type="fixed"/>
          <w:tblCellMar>
            <w:top w:w="15" w:type="dxa"/>
            <w:left w:w="15" w:type="dxa"/>
            <w:bottom w:w="15" w:type="dxa"/>
            <w:right w:w="15" w:type="dxa"/>
          </w:tblCellMar>
        </w:tblPrEx>
        <w:trPr>
          <w:trHeight w:val="612"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放射医学、超声医学</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心电图诊断</w:t>
            </w:r>
          </w:p>
        </w:tc>
      </w:tr>
      <w:tr>
        <w:tblPrEx>
          <w:tblLayout w:type="fixed"/>
          <w:tblCellMar>
            <w:top w:w="15" w:type="dxa"/>
            <w:left w:w="15" w:type="dxa"/>
            <w:bottom w:w="15" w:type="dxa"/>
            <w:right w:w="15" w:type="dxa"/>
          </w:tblCellMar>
        </w:tblPrEx>
        <w:trPr>
          <w:trHeight w:val="536"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病理学</w:t>
            </w:r>
          </w:p>
        </w:tc>
      </w:tr>
      <w:tr>
        <w:tblPrEx>
          <w:tblLayout w:type="fixed"/>
          <w:tblCellMar>
            <w:top w:w="15" w:type="dxa"/>
            <w:left w:w="15" w:type="dxa"/>
            <w:bottom w:w="15" w:type="dxa"/>
            <w:right w:w="15" w:type="dxa"/>
          </w:tblCellMar>
        </w:tblPrEx>
        <w:trPr>
          <w:trHeight w:val="596" w:hRule="atLeast"/>
        </w:trPr>
        <w:tc>
          <w:tcPr>
            <w:tcW w:w="7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262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2500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3000</w:t>
            </w:r>
          </w:p>
        </w:tc>
        <w:tc>
          <w:tcPr>
            <w:tcW w:w="5464"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核医学</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脑电图诊断</w:t>
            </w:r>
          </w:p>
        </w:tc>
      </w:tr>
      <w:tr>
        <w:tblPrEx>
          <w:tblLayout w:type="fixed"/>
          <w:tblCellMar>
            <w:top w:w="15" w:type="dxa"/>
            <w:left w:w="15" w:type="dxa"/>
            <w:bottom w:w="15" w:type="dxa"/>
            <w:right w:w="15" w:type="dxa"/>
          </w:tblCellMar>
        </w:tblPrEx>
        <w:trPr>
          <w:trHeight w:val="596" w:hRule="atLeast"/>
        </w:trPr>
        <w:tc>
          <w:tcPr>
            <w:tcW w:w="750" w:type="dxa"/>
            <w:vMerge w:val="restart"/>
            <w:tcBorders>
              <w:top w:val="single" w:color="000000" w:sz="4" w:space="0"/>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口腔</w:t>
            </w:r>
          </w:p>
        </w:tc>
        <w:tc>
          <w:tcPr>
            <w:tcW w:w="103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无病房科室</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800</w:t>
            </w:r>
          </w:p>
        </w:tc>
        <w:tc>
          <w:tcPr>
            <w:tcW w:w="5464"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口腔内科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口腔修复</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口腔正畸</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口腔医学</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口腔外科</w:t>
            </w:r>
          </w:p>
        </w:tc>
      </w:tr>
      <w:tr>
        <w:tblPrEx>
          <w:tblLayout w:type="fixed"/>
          <w:tblCellMar>
            <w:top w:w="15" w:type="dxa"/>
            <w:left w:w="15" w:type="dxa"/>
            <w:bottom w:w="15" w:type="dxa"/>
            <w:right w:w="15" w:type="dxa"/>
          </w:tblCellMar>
        </w:tblPrEx>
        <w:trPr>
          <w:trHeight w:val="596"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诊疗人次</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4000</w:t>
            </w:r>
          </w:p>
        </w:tc>
        <w:tc>
          <w:tcPr>
            <w:tcW w:w="5464"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p>
        </w:tc>
      </w:tr>
      <w:tr>
        <w:tblPrEx>
          <w:tblLayout w:type="fixed"/>
          <w:tblCellMar>
            <w:top w:w="15" w:type="dxa"/>
            <w:left w:w="15" w:type="dxa"/>
            <w:bottom w:w="15" w:type="dxa"/>
            <w:right w:w="15" w:type="dxa"/>
          </w:tblCellMar>
        </w:tblPrEx>
        <w:trPr>
          <w:trHeight w:val="596"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有病房科室</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vMerge w:val="restart"/>
            <w:tcBorders>
              <w:top w:val="single" w:color="000000" w:sz="4" w:space="0"/>
              <w:left w:val="single" w:color="000000" w:sz="4" w:space="0"/>
              <w:right w:val="single" w:color="000000" w:sz="4" w:space="0"/>
            </w:tcBorders>
            <w:vAlign w:val="center"/>
          </w:tcPr>
          <w:p>
            <w:pPr>
              <w:widowControl/>
              <w:jc w:val="left"/>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口腔外科</w:t>
            </w:r>
          </w:p>
        </w:tc>
      </w:tr>
      <w:tr>
        <w:tblPrEx>
          <w:tblLayout w:type="fixed"/>
          <w:tblCellMar>
            <w:top w:w="15" w:type="dxa"/>
            <w:left w:w="15" w:type="dxa"/>
            <w:bottom w:w="15" w:type="dxa"/>
            <w:right w:w="15" w:type="dxa"/>
          </w:tblCellMar>
        </w:tblPrEx>
        <w:trPr>
          <w:trHeight w:val="596" w:hRule="atLeast"/>
        </w:trPr>
        <w:tc>
          <w:tcPr>
            <w:tcW w:w="750"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r>
              <w:rPr>
                <w:rFonts w:ascii="仿宋" w:hAnsi="仿宋" w:eastAsia="仿宋" w:cs="LinTimes"/>
                <w:color w:val="000000" w:themeColor="text1"/>
                <w:kern w:val="0"/>
                <w:sz w:val="24"/>
                <w:szCs w:val="24"/>
                <w:lang w:bidi="ar"/>
                <w14:textFill>
                  <w14:solidFill>
                    <w14:schemeClr w14:val="tx1"/>
                  </w14:solidFill>
                </w14:textFill>
              </w:rPr>
              <w:br w:type="textWrapping"/>
            </w:r>
            <w:r>
              <w:rPr>
                <w:rFonts w:ascii="仿宋" w:hAnsi="仿宋" w:eastAsia="仿宋" w:cs="LinTimes"/>
                <w:color w:val="000000" w:themeColor="text1"/>
                <w:spacing w:val="-23"/>
                <w:kern w:val="0"/>
                <w:sz w:val="24"/>
                <w:szCs w:val="24"/>
                <w:lang w:bidi="ar"/>
                <w14:textFill>
                  <w14:solidFill>
                    <w14:schemeClr w14:val="tx1"/>
                  </w14:solidFill>
                </w14:textFill>
              </w:rPr>
              <w:t>（参与或作为治疗组组长）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350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vMerge w:val="continue"/>
            <w:tcBorders>
              <w:left w:val="single" w:color="000000" w:sz="4" w:space="0"/>
              <w:right w:val="single" w:color="000000" w:sz="4" w:space="0"/>
            </w:tcBorders>
            <w:vAlign w:val="center"/>
          </w:tcPr>
          <w:p>
            <w:pPr>
              <w:widowControl/>
              <w:jc w:val="left"/>
              <w:textAlignment w:val="center"/>
              <w:rPr>
                <w:rFonts w:ascii="LinTimes" w:hAnsi="LinTimes" w:eastAsia="仿宋_GB2312" w:cs="LinTimes"/>
                <w:color w:val="000000" w:themeColor="text1"/>
                <w:kern w:val="0"/>
                <w:sz w:val="24"/>
                <w:szCs w:val="24"/>
                <w:lang w:bidi="ar"/>
                <w14:textFill>
                  <w14:solidFill>
                    <w14:schemeClr w14:val="tx1"/>
                  </w14:solidFill>
                </w14:textFill>
              </w:rPr>
            </w:pPr>
          </w:p>
        </w:tc>
      </w:tr>
      <w:tr>
        <w:tblPrEx>
          <w:tblLayout w:type="fixed"/>
          <w:tblCellMar>
            <w:top w:w="15" w:type="dxa"/>
            <w:left w:w="15" w:type="dxa"/>
            <w:bottom w:w="15" w:type="dxa"/>
            <w:right w:w="15" w:type="dxa"/>
          </w:tblCellMar>
        </w:tblPrEx>
        <w:trPr>
          <w:trHeight w:val="596" w:hRule="atLeast"/>
        </w:trPr>
        <w:tc>
          <w:tcPr>
            <w:tcW w:w="750"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出院患者手术</w:t>
            </w:r>
            <w:r>
              <w:rPr>
                <w:rFonts w:ascii="仿宋" w:hAnsi="仿宋" w:eastAsia="仿宋" w:cs="LinTimes"/>
                <w:color w:val="000000" w:themeColor="text1"/>
                <w:kern w:val="0"/>
                <w:sz w:val="24"/>
                <w:szCs w:val="24"/>
                <w:lang w:bidi="ar"/>
                <w14:textFill>
                  <w14:solidFill>
                    <w14:schemeClr w14:val="tx1"/>
                  </w14:solidFill>
                </w14:textFill>
              </w:rPr>
              <w:br w:type="textWrapping"/>
            </w:r>
            <w:r>
              <w:rPr>
                <w:rFonts w:ascii="仿宋" w:hAnsi="仿宋" w:eastAsia="仿宋" w:cs="LinTimes"/>
                <w:color w:val="000000" w:themeColor="text1"/>
                <w:kern w:val="0"/>
                <w:sz w:val="24"/>
                <w:szCs w:val="24"/>
                <w:lang w:bidi="ar"/>
                <w14:textFill>
                  <w14:solidFill>
                    <w14:schemeClr w14:val="tx1"/>
                  </w14:solidFill>
                </w14:textFill>
              </w:rPr>
              <w:t>/操作人次数</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5464" w:type="dxa"/>
            <w:vMerge w:val="continue"/>
            <w:tcBorders>
              <w:left w:val="single" w:color="000000" w:sz="4" w:space="0"/>
              <w:bottom w:val="single" w:color="000000" w:sz="4" w:space="0"/>
              <w:right w:val="single" w:color="000000" w:sz="4" w:space="0"/>
            </w:tcBorders>
            <w:vAlign w:val="center"/>
          </w:tcPr>
          <w:p>
            <w:pPr>
              <w:widowControl/>
              <w:jc w:val="left"/>
              <w:textAlignment w:val="center"/>
              <w:rPr>
                <w:rFonts w:ascii="LinTimes" w:hAnsi="LinTimes" w:eastAsia="仿宋_GB2312" w:cs="LinTimes"/>
                <w:color w:val="000000" w:themeColor="text1"/>
                <w:kern w:val="0"/>
                <w:sz w:val="24"/>
                <w:szCs w:val="24"/>
                <w:lang w:bidi="ar"/>
                <w14:textFill>
                  <w14:solidFill>
                    <w14:schemeClr w14:val="tx1"/>
                  </w14:solidFill>
                </w14:textFill>
              </w:rPr>
            </w:pPr>
          </w:p>
        </w:tc>
      </w:tr>
      <w:tr>
        <w:tblPrEx>
          <w:tblLayout w:type="fixed"/>
          <w:tblCellMar>
            <w:top w:w="15" w:type="dxa"/>
            <w:left w:w="15" w:type="dxa"/>
            <w:bottom w:w="15" w:type="dxa"/>
            <w:right w:w="15" w:type="dxa"/>
          </w:tblCellMar>
        </w:tblPrEx>
        <w:trPr>
          <w:trHeight w:val="596" w:hRule="atLeast"/>
        </w:trPr>
        <w:tc>
          <w:tcPr>
            <w:tcW w:w="750" w:type="dxa"/>
            <w:tcBorders>
              <w:top w:val="single" w:color="auto" w:sz="4" w:space="0"/>
              <w:left w:val="single" w:color="000000" w:sz="4" w:space="0"/>
              <w:bottom w:val="single" w:color="000000" w:sz="4" w:space="0"/>
              <w:right w:val="single" w:color="000000" w:sz="4" w:space="0"/>
            </w:tcBorders>
            <w:vAlign w:val="center"/>
          </w:tcPr>
          <w:p>
            <w:pPr>
              <w:jc w:val="center"/>
              <w:rPr>
                <w:rFonts w:ascii="LinTimes" w:hAnsi="LinTimes" w:eastAsia="仿宋_GB2312" w:cs="LinTimes"/>
                <w:color w:val="000000" w:themeColor="text1"/>
                <w:sz w:val="24"/>
                <w:szCs w:val="24"/>
                <w14:textFill>
                  <w14:solidFill>
                    <w14:schemeClr w14:val="tx1"/>
                  </w14:solidFill>
                </w14:textFill>
              </w:rPr>
            </w:pPr>
          </w:p>
        </w:tc>
        <w:tc>
          <w:tcPr>
            <w:tcW w:w="1038"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专业</w:t>
            </w:r>
            <w:r>
              <w:rPr>
                <w:rFonts w:ascii="LinTimes" w:hAnsi="LinTimes" w:eastAsia="黑体" w:cs="LinTimes"/>
                <w:color w:val="000000" w:themeColor="text1"/>
                <w:kern w:val="0"/>
                <w:sz w:val="24"/>
                <w:szCs w:val="24"/>
                <w:lang w:bidi="ar"/>
                <w14:textFill>
                  <w14:solidFill>
                    <w14:schemeClr w14:val="tx1"/>
                  </w14:solidFill>
                </w14:textFill>
              </w:rPr>
              <w:br w:type="textWrapping"/>
            </w:r>
            <w:r>
              <w:rPr>
                <w:rFonts w:ascii="LinTimes" w:hAnsi="LinTimes" w:eastAsia="黑体" w:cs="LinTimes"/>
                <w:color w:val="000000" w:themeColor="text1"/>
                <w:kern w:val="0"/>
                <w:sz w:val="24"/>
                <w:szCs w:val="24"/>
                <w:lang w:bidi="ar"/>
                <w14:textFill>
                  <w14:solidFill>
                    <w14:schemeClr w14:val="tx1"/>
                  </w14:solidFill>
                </w14:textFill>
              </w:rPr>
              <w:t>类别</w:t>
            </w:r>
          </w:p>
        </w:tc>
        <w:tc>
          <w:tcPr>
            <w:tcW w:w="2626"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评价项目</w:t>
            </w:r>
          </w:p>
        </w:tc>
        <w:tc>
          <w:tcPr>
            <w:tcW w:w="975"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单位</w:t>
            </w:r>
          </w:p>
        </w:tc>
        <w:tc>
          <w:tcPr>
            <w:tcW w:w="1920"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副主任医师</w:t>
            </w:r>
          </w:p>
        </w:tc>
        <w:tc>
          <w:tcPr>
            <w:tcW w:w="1726"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kern w:val="0"/>
                <w:sz w:val="24"/>
                <w:szCs w:val="24"/>
                <w:lang w:bidi="ar"/>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晋升</w:t>
            </w:r>
          </w:p>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主任医师</w:t>
            </w:r>
          </w:p>
        </w:tc>
        <w:tc>
          <w:tcPr>
            <w:tcW w:w="5464" w:type="dxa"/>
            <w:tcBorders>
              <w:top w:val="single" w:color="auto"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LinTimes" w:hAnsi="LinTimes" w:eastAsia="黑体" w:cs="LinTimes"/>
                <w:color w:val="000000" w:themeColor="text1"/>
                <w:sz w:val="24"/>
                <w:szCs w:val="24"/>
                <w14:textFill>
                  <w14:solidFill>
                    <w14:schemeClr w14:val="tx1"/>
                  </w14:solidFill>
                </w14:textFill>
              </w:rPr>
            </w:pPr>
            <w:r>
              <w:rPr>
                <w:rFonts w:ascii="LinTimes" w:hAnsi="LinTimes" w:eastAsia="黑体" w:cs="LinTimes"/>
                <w:color w:val="000000" w:themeColor="text1"/>
                <w:kern w:val="0"/>
                <w:sz w:val="24"/>
                <w:szCs w:val="24"/>
                <w:lang w:bidi="ar"/>
                <w14:textFill>
                  <w14:solidFill>
                    <w14:schemeClr w14:val="tx1"/>
                  </w14:solidFill>
                </w14:textFill>
              </w:rPr>
              <w:t>适用专业</w:t>
            </w:r>
          </w:p>
        </w:tc>
      </w:tr>
      <w:tr>
        <w:tblPrEx>
          <w:tblLayout w:type="fixed"/>
          <w:tblCellMar>
            <w:top w:w="15" w:type="dxa"/>
            <w:left w:w="15" w:type="dxa"/>
            <w:bottom w:w="15" w:type="dxa"/>
            <w:right w:w="15" w:type="dxa"/>
          </w:tblCellMar>
        </w:tblPrEx>
        <w:trPr>
          <w:trHeight w:val="624" w:hRule="atLeast"/>
        </w:trPr>
        <w:tc>
          <w:tcPr>
            <w:tcW w:w="75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中医</w:t>
            </w:r>
          </w:p>
        </w:tc>
        <w:tc>
          <w:tcPr>
            <w:tcW w:w="103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非手术为主专业</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门诊工作量（有病房）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600</w:t>
            </w:r>
          </w:p>
        </w:tc>
        <w:tc>
          <w:tcPr>
            <w:tcW w:w="5464" w:type="dxa"/>
            <w:vMerge w:val="restart"/>
            <w:tcBorders>
              <w:top w:val="single" w:color="000000" w:sz="4" w:space="0"/>
              <w:left w:val="single" w:color="000000" w:sz="4" w:space="0"/>
              <w:right w:val="single" w:color="000000" w:sz="4" w:space="0"/>
            </w:tcBorders>
            <w:vAlign w:val="center"/>
          </w:tcPr>
          <w:p>
            <w:pP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中医内科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中医妇科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中医儿科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针灸</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推拿</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中西医结合内科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中西医结合妇科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中西医结合儿科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全科医学</w:t>
            </w:r>
            <w:r>
              <w:rPr>
                <w:rFonts w:hint="eastAsia" w:ascii="仿宋" w:hAnsi="仿宋" w:eastAsia="仿宋" w:cs="LinTimes"/>
                <w:color w:val="000000" w:themeColor="text1"/>
                <w:sz w:val="24"/>
                <w:szCs w:val="24"/>
                <w14:textFill>
                  <w14:solidFill>
                    <w14:schemeClr w14:val="tx1"/>
                  </w14:solidFill>
                </w14:textFill>
              </w:rPr>
              <w:t>（中医类）</w:t>
            </w: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p>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spacing w:val="-23"/>
                <w:kern w:val="0"/>
                <w:sz w:val="24"/>
                <w:szCs w:val="24"/>
                <w:lang w:bidi="ar"/>
                <w14:textFill>
                  <w14:solidFill>
                    <w14:schemeClr w14:val="tx1"/>
                  </w14:solidFill>
                </w14:textFill>
              </w:rPr>
              <w:t>（参与或作为治疗组长）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600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900</w:t>
            </w:r>
          </w:p>
        </w:tc>
        <w:tc>
          <w:tcPr>
            <w:tcW w:w="5464"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门诊工作量（无病房）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1000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12</w:t>
            </w:r>
            <w:r>
              <w:rPr>
                <w:rFonts w:ascii="仿宋" w:hAnsi="仿宋" w:eastAsia="仿宋" w:cs="LinTimes"/>
                <w:color w:val="000000" w:themeColor="text1"/>
                <w:kern w:val="0"/>
                <w:sz w:val="24"/>
                <w:szCs w:val="24"/>
                <w:lang w:bidi="ar"/>
                <w14:textFill>
                  <w14:solidFill>
                    <w14:schemeClr w14:val="tx1"/>
                  </w14:solidFill>
                </w14:textFill>
              </w:rPr>
              <w:t>00</w:t>
            </w:r>
          </w:p>
        </w:tc>
        <w:tc>
          <w:tcPr>
            <w:tcW w:w="5464" w:type="dxa"/>
            <w:vMerge w:val="continue"/>
            <w:tcBorders>
              <w:left w:val="single" w:color="000000" w:sz="4" w:space="0"/>
              <w:bottom w:val="single" w:color="auto"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restart"/>
            <w:tcBorders>
              <w:top w:val="single" w:color="000000" w:sz="4" w:space="0"/>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手术为主专业</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门诊工作量（有病房）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5464" w:type="dxa"/>
            <w:vMerge w:val="restart"/>
            <w:tcBorders>
              <w:top w:val="single" w:color="auto" w:sz="4" w:space="0"/>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中医外科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中医肛肠</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中医皮肤</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中医妇科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中医骨伤</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中医耳鼻喉</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中医眼科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中西医结合外科</w:t>
            </w:r>
            <w:r>
              <w:rPr>
                <w:rFonts w:hint="eastAsia" w:ascii="仿宋" w:hAnsi="仿宋" w:eastAsia="仿宋" w:cs="LinTimes"/>
                <w:color w:val="000000" w:themeColor="text1"/>
                <w:sz w:val="24"/>
                <w:szCs w:val="24"/>
                <w14:textFill>
                  <w14:solidFill>
                    <w14:schemeClr w14:val="tx1"/>
                  </w14:solidFill>
                </w14:textFill>
              </w:rPr>
              <w:t>、</w:t>
            </w:r>
            <w:r>
              <w:rPr>
                <w:rFonts w:ascii="仿宋" w:hAnsi="仿宋" w:eastAsia="仿宋" w:cs="LinTimes"/>
                <w:color w:val="000000" w:themeColor="text1"/>
                <w:sz w:val="24"/>
                <w:szCs w:val="24"/>
                <w14:textFill>
                  <w14:solidFill>
                    <w14:schemeClr w14:val="tx1"/>
                  </w14:solidFill>
                </w14:textFill>
              </w:rPr>
              <w:t>中西医结合妇科</w:t>
            </w: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出院人数</w:t>
            </w:r>
          </w:p>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spacing w:val="-23"/>
                <w:kern w:val="0"/>
                <w:sz w:val="24"/>
                <w:szCs w:val="24"/>
                <w:lang w:bidi="ar"/>
                <w14:textFill>
                  <w14:solidFill>
                    <w14:schemeClr w14:val="tx1"/>
                  </w14:solidFill>
                </w14:textFill>
              </w:rPr>
              <w:t>（参与或作为治疗组长）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500</w:t>
            </w:r>
          </w:p>
        </w:tc>
        <w:tc>
          <w:tcPr>
            <w:tcW w:w="5464"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90" w:hRule="atLeast"/>
        </w:trPr>
        <w:tc>
          <w:tcPr>
            <w:tcW w:w="750" w:type="dxa"/>
            <w:vMerge w:val="continue"/>
            <w:tcBorders>
              <w:left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出院患者手术</w:t>
            </w:r>
            <w:r>
              <w:rPr>
                <w:rFonts w:ascii="仿宋" w:hAnsi="仿宋" w:eastAsia="仿宋" w:cs="LinTimes"/>
                <w:color w:val="000000" w:themeColor="text1"/>
                <w:kern w:val="0"/>
                <w:sz w:val="24"/>
                <w:szCs w:val="24"/>
                <w:lang w:bidi="ar"/>
                <w14:textFill>
                  <w14:solidFill>
                    <w14:schemeClr w14:val="tx1"/>
                  </w14:solidFill>
                </w14:textFill>
              </w:rPr>
              <w:br w:type="textWrapping"/>
            </w:r>
            <w:r>
              <w:rPr>
                <w:rFonts w:ascii="仿宋" w:hAnsi="仿宋" w:eastAsia="仿宋" w:cs="LinTimes"/>
                <w:color w:val="000000" w:themeColor="text1"/>
                <w:kern w:val="0"/>
                <w:sz w:val="24"/>
                <w:szCs w:val="24"/>
                <w:lang w:bidi="ar"/>
                <w14:textFill>
                  <w14:solidFill>
                    <w14:schemeClr w14:val="tx1"/>
                  </w14:solidFill>
                </w14:textFill>
              </w:rPr>
              <w:t>/操作人次</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人次</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300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400</w:t>
            </w:r>
          </w:p>
        </w:tc>
        <w:tc>
          <w:tcPr>
            <w:tcW w:w="5464" w:type="dxa"/>
            <w:vMerge w:val="continue"/>
            <w:tcBorders>
              <w:left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624" w:hRule="atLeast"/>
        </w:trPr>
        <w:tc>
          <w:tcPr>
            <w:tcW w:w="75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1038"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门诊工作量（无病房）</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sz w:val="24"/>
                <w:szCs w:val="24"/>
                <w14:textFill>
                  <w14:solidFill>
                    <w14:schemeClr w14:val="tx1"/>
                  </w14:solidFill>
                </w14:textFill>
              </w:rPr>
              <w:t>单元</w:t>
            </w: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10</w:t>
            </w:r>
            <w:r>
              <w:rPr>
                <w:rFonts w:ascii="仿宋" w:hAnsi="仿宋" w:eastAsia="仿宋" w:cs="LinTimes"/>
                <w:color w:val="000000" w:themeColor="text1"/>
                <w:kern w:val="0"/>
                <w:sz w:val="24"/>
                <w:szCs w:val="24"/>
                <w:lang w:bidi="ar"/>
                <w14:textFill>
                  <w14:solidFill>
                    <w14:schemeClr w14:val="tx1"/>
                  </w14:solidFill>
                </w14:textFill>
              </w:rPr>
              <w:t>00</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12</w:t>
            </w:r>
            <w:r>
              <w:rPr>
                <w:rFonts w:ascii="仿宋" w:hAnsi="仿宋" w:eastAsia="仿宋" w:cs="LinTimes"/>
                <w:color w:val="000000" w:themeColor="text1"/>
                <w:kern w:val="0"/>
                <w:sz w:val="24"/>
                <w:szCs w:val="24"/>
                <w:lang w:bidi="ar"/>
                <w14:textFill>
                  <w14:solidFill>
                    <w14:schemeClr w14:val="tx1"/>
                  </w14:solidFill>
                </w14:textFill>
              </w:rPr>
              <w:t>00</w:t>
            </w:r>
          </w:p>
        </w:tc>
        <w:tc>
          <w:tcPr>
            <w:tcW w:w="5464" w:type="dxa"/>
            <w:vMerge w:val="continue"/>
            <w:tcBorders>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r>
      <w:tr>
        <w:tblPrEx>
          <w:tblLayout w:type="fixed"/>
          <w:tblCellMar>
            <w:top w:w="15" w:type="dxa"/>
            <w:left w:w="15" w:type="dxa"/>
            <w:bottom w:w="15" w:type="dxa"/>
            <w:right w:w="15" w:type="dxa"/>
          </w:tblCellMar>
        </w:tblPrEx>
        <w:trPr>
          <w:trHeight w:val="2286" w:hRule="exact"/>
        </w:trPr>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公卫</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w:t>
            </w:r>
          </w:p>
        </w:tc>
        <w:tc>
          <w:tcPr>
            <w:tcW w:w="26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w:t>
            </w:r>
          </w:p>
        </w:tc>
        <w:tc>
          <w:tcPr>
            <w:tcW w:w="975" w:type="dxa"/>
            <w:tcBorders>
              <w:top w:val="single" w:color="000000" w:sz="4" w:space="0"/>
              <w:left w:val="single" w:color="000000" w:sz="4" w:space="0"/>
              <w:bottom w:val="single" w:color="000000" w:sz="4" w:space="0"/>
              <w:right w:val="single" w:color="000000" w:sz="4" w:space="0"/>
            </w:tcBorders>
            <w:vAlign w:val="center"/>
          </w:tcPr>
          <w:p>
            <w:pPr>
              <w:jc w:val="center"/>
              <w:rPr>
                <w:rFonts w:ascii="仿宋" w:hAnsi="仿宋" w:eastAsia="仿宋" w:cs="LinTimes"/>
                <w:color w:val="000000" w:themeColor="text1"/>
                <w:sz w:val="24"/>
                <w:szCs w:val="24"/>
                <w14:textFill>
                  <w14:solidFill>
                    <w14:schemeClr w14:val="tx1"/>
                  </w14:solidFill>
                </w14:textFill>
              </w:rPr>
            </w:pPr>
          </w:p>
        </w:tc>
        <w:tc>
          <w:tcPr>
            <w:tcW w:w="1920"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平均每年参加本专业工作时间不少于40周，其中现场工作</w:t>
            </w:r>
            <w:r>
              <w:rPr>
                <w:rFonts w:hint="eastAsia" w:ascii="仿宋" w:hAnsi="仿宋" w:eastAsia="仿宋" w:cs="LinTimes"/>
                <w:color w:val="000000" w:themeColor="text1"/>
                <w:kern w:val="0"/>
                <w:sz w:val="24"/>
                <w:szCs w:val="24"/>
                <w:lang w:bidi="ar"/>
                <w14:textFill>
                  <w14:solidFill>
                    <w14:schemeClr w14:val="tx1"/>
                  </w14:solidFill>
                </w14:textFill>
              </w:rPr>
              <w:t>天</w:t>
            </w:r>
            <w:r>
              <w:rPr>
                <w:rFonts w:ascii="仿宋" w:hAnsi="仿宋" w:eastAsia="仿宋" w:cs="LinTimes"/>
                <w:color w:val="000000" w:themeColor="text1"/>
                <w:kern w:val="0"/>
                <w:sz w:val="24"/>
                <w:szCs w:val="24"/>
                <w:lang w:bidi="ar"/>
                <w14:textFill>
                  <w14:solidFill>
                    <w14:schemeClr w14:val="tx1"/>
                  </w14:solidFill>
                </w14:textFill>
              </w:rPr>
              <w:t>数不少于60天/年</w:t>
            </w:r>
          </w:p>
        </w:tc>
        <w:tc>
          <w:tcPr>
            <w:tcW w:w="1726" w:type="dxa"/>
            <w:tcBorders>
              <w:top w:val="single" w:color="000000" w:sz="4" w:space="0"/>
              <w:left w:val="single" w:color="000000" w:sz="4" w:space="0"/>
              <w:bottom w:val="single" w:color="000000" w:sz="4" w:space="0"/>
              <w:right w:val="single" w:color="000000" w:sz="4" w:space="0"/>
            </w:tcBorders>
            <w:vAlign w:val="center"/>
          </w:tcPr>
          <w:p>
            <w:pPr>
              <w:widowControl/>
              <w:spacing w:line="320" w:lineRule="exact"/>
              <w:jc w:val="center"/>
              <w:textAlignment w:val="center"/>
              <w:rPr>
                <w:rFonts w:ascii="仿宋" w:hAnsi="仿宋" w:eastAsia="仿宋" w:cs="LinTimes"/>
                <w:color w:val="000000" w:themeColor="text1"/>
                <w:sz w:val="24"/>
                <w:szCs w:val="24"/>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平均每年参加本专业工作时间不少于35周，其中现场工作天数不少于60天/年</w:t>
            </w:r>
          </w:p>
        </w:tc>
        <w:tc>
          <w:tcPr>
            <w:tcW w:w="5464" w:type="dxa"/>
            <w:tcBorders>
              <w:top w:val="single" w:color="000000" w:sz="4" w:space="0"/>
              <w:left w:val="single" w:color="000000" w:sz="4" w:space="0"/>
              <w:bottom w:val="single" w:color="000000" w:sz="4" w:space="0"/>
              <w:right w:val="single" w:color="000000" w:sz="4" w:space="0"/>
            </w:tcBorders>
            <w:vAlign w:val="center"/>
          </w:tcPr>
          <w:p>
            <w:pPr>
              <w:spacing w:line="320" w:lineRule="exact"/>
              <w:jc w:val="center"/>
              <w:rPr>
                <w:rFonts w:ascii="仿宋" w:hAnsi="仿宋" w:eastAsia="仿宋" w:cs="LinTimes"/>
                <w:color w:val="000000" w:themeColor="text1"/>
                <w:sz w:val="24"/>
                <w:szCs w:val="24"/>
                <w14:textFill>
                  <w14:solidFill>
                    <w14:schemeClr w14:val="tx1"/>
                  </w14:solidFill>
                </w14:textFill>
              </w:rPr>
            </w:pPr>
            <w:r>
              <w:rPr>
                <w:rFonts w:hint="eastAsia" w:ascii="仿宋" w:hAnsi="仿宋" w:eastAsia="仿宋" w:cs="LinTimes"/>
                <w:color w:val="000000" w:themeColor="text1"/>
                <w:sz w:val="24"/>
                <w:szCs w:val="24"/>
                <w14:textFill>
                  <w14:solidFill>
                    <w14:schemeClr w14:val="tx1"/>
                  </w14:solidFill>
                </w14:textFill>
              </w:rPr>
              <w:t>流行病、寄生虫病、环境卫生、学校卫生、劳动卫生、放射卫生、地方病控制、病媒生物控制、卫生毒理、健康教育、营养与食品卫生</w:t>
            </w:r>
          </w:p>
        </w:tc>
      </w:tr>
    </w:tbl>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注1：</w:t>
      </w:r>
      <w:r>
        <w:rPr>
          <w:rFonts w:hint="eastAsia" w:ascii="LinTimes" w:hAnsi="LinTimes" w:eastAsia="楷体" w:cs="LinTimes"/>
          <w:color w:val="000000" w:themeColor="text1"/>
          <w:sz w:val="24"/>
          <w14:textFill>
            <w14:solidFill>
              <w14:schemeClr w14:val="tx1"/>
            </w14:solidFill>
          </w14:textFill>
        </w:rPr>
        <w:t>工作量指标是中级晋升副高、副高晋升正高期间的完成工作量，均从聘任时间开始计算。半天（4小时）为1个单元。</w:t>
      </w:r>
      <w:r>
        <w:rPr>
          <w:rFonts w:ascii="LinTimes" w:hAnsi="LinTimes" w:eastAsia="楷体" w:cs="LinTimes"/>
          <w:color w:val="000000" w:themeColor="text1"/>
          <w:sz w:val="24"/>
          <w14:textFill>
            <w14:solidFill>
              <w14:schemeClr w14:val="tx1"/>
            </w14:solidFill>
          </w14:textFill>
        </w:rPr>
        <w:t>非急诊科医生在5年期间如轮转急诊科，工作期间按照4小时为一个门诊单元数计算。针灸、推拿（按摩）、刮痧、拔罐等中医治疗技术，因受手法操作时间限制，工作量按照4小时为一个门诊单元数计算，不考虑治疗病人数量。</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注2：肾内科学专业透析工作按照4小时为一个门诊单元计算；传染病学专业医师门诊工作量包含发热门诊</w:t>
      </w:r>
      <w:r>
        <w:rPr>
          <w:rFonts w:hint="eastAsia" w:ascii="LinTimes" w:hAnsi="LinTimes" w:eastAsia="楷体" w:cs="LinTimes"/>
          <w:color w:val="000000" w:themeColor="text1"/>
          <w:sz w:val="24"/>
          <w14:textFill>
            <w14:solidFill>
              <w14:schemeClr w14:val="tx1"/>
            </w14:solidFill>
          </w14:textFill>
        </w:rPr>
        <w:t>、</w:t>
      </w:r>
      <w:r>
        <w:rPr>
          <w:rFonts w:ascii="LinTimes" w:hAnsi="LinTimes" w:eastAsia="楷体" w:cs="LinTimes"/>
          <w:color w:val="000000" w:themeColor="text1"/>
          <w:sz w:val="24"/>
          <w14:textFill>
            <w14:solidFill>
              <w14:schemeClr w14:val="tx1"/>
            </w14:solidFill>
          </w14:textFill>
        </w:rPr>
        <w:t>肠道门诊工作时间</w:t>
      </w:r>
      <w:r>
        <w:rPr>
          <w:rFonts w:hint="eastAsia" w:ascii="LinTimes" w:hAnsi="LinTimes" w:eastAsia="楷体" w:cs="LinTimes"/>
          <w:color w:val="000000" w:themeColor="text1"/>
          <w:sz w:val="24"/>
          <w14:textFill>
            <w14:solidFill>
              <w14:schemeClr w14:val="tx1"/>
            </w14:solidFill>
          </w14:textFill>
        </w:rPr>
        <w:t>和会诊时间</w:t>
      </w:r>
      <w:r>
        <w:rPr>
          <w:rFonts w:ascii="LinTimes" w:hAnsi="LinTimes" w:eastAsia="楷体" w:cs="LinTimes"/>
          <w:color w:val="000000" w:themeColor="text1"/>
          <w:sz w:val="24"/>
          <w14:textFill>
            <w14:solidFill>
              <w14:schemeClr w14:val="tx1"/>
            </w14:solidFill>
          </w14:textFill>
        </w:rPr>
        <w:t>，如无病房则放入无病房组。</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注3：全科医学专业医师门诊工作量包含下基层指导工作时间，如无病房则放入无病房组。</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注4：内镜诊疗5000人次（含内镜下治疗手术，晋升副主任医师至少500例，晋升主任医师至少800例，门诊患者和出院患者均包括）为消化内科学专业必备的申报条件之一。</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注5：呼吸内镜诊疗200人次（含呼吸内镜下检查与治疗，门诊患者和出院患者均包括）为呼吸内科学专业必备的申报条件之一。</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注6：心血管内科学和神经内科学及其他有介入治疗的专业可参照手术为主临床专业执行。</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注7：整形外科学专业的工作量指标不含出院人数，其出院患者手术/操作人次数调整为手术/操作人次数（含门诊患者和出院患者手术/操作人次数）。</w:t>
      </w:r>
    </w:p>
    <w:p>
      <w:pPr>
        <w:snapToGrid w:val="0"/>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注8：出院患者手术/操作人次晋升副主任医师以主刀或一助计算；晋升主任医师以主刀计算。</w:t>
      </w:r>
    </w:p>
    <w:p>
      <w:pPr>
        <w:spacing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注9：临床医学检验学专业中，形态、血液、微生物等亚专业申报条件为参与诊疗患者人次数，临检、生化、免疫等亚专业的申报条件为签发检查报告份数。</w:t>
      </w:r>
    </w:p>
    <w:p>
      <w:pPr>
        <w:snapToGrid w:val="0"/>
        <w:spacing w:line="320" w:lineRule="exact"/>
        <w:rPr>
          <w:rFonts w:ascii="LinTimes" w:hAnsi="LinTimes" w:eastAsia="楷体" w:cs="LinTimes"/>
          <w:color w:val="000000" w:themeColor="text1"/>
          <w:sz w:val="24"/>
          <w14:textFill>
            <w14:solidFill>
              <w14:schemeClr w14:val="tx1"/>
            </w14:solidFill>
          </w14:textFill>
        </w:rPr>
      </w:pPr>
    </w:p>
    <w:p>
      <w:pPr>
        <w:widowControl/>
        <w:jc w:val="left"/>
        <w:rPr>
          <w:color w:val="000000" w:themeColor="text1"/>
          <w:sz w:val="44"/>
          <w:szCs w:val="44"/>
          <w14:textFill>
            <w14:solidFill>
              <w14:schemeClr w14:val="tx1"/>
            </w14:solidFill>
          </w14:textFill>
        </w:rPr>
      </w:pPr>
      <w:r>
        <w:rPr>
          <w:color w:val="000000" w:themeColor="text1"/>
          <w:sz w:val="44"/>
          <w:szCs w:val="44"/>
          <w14:textFill>
            <w14:solidFill>
              <w14:schemeClr w14:val="tx1"/>
            </w14:solidFill>
          </w14:textFill>
        </w:rPr>
        <w:br w:type="page"/>
      </w:r>
    </w:p>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r>
        <w:rPr>
          <w:rFonts w:hint="eastAsia" w:ascii="黑体" w:hAnsi="黑体" w:eastAsia="黑体"/>
          <w:color w:val="000000" w:themeColor="text1"/>
          <w:sz w:val="32"/>
          <w:szCs w:val="32"/>
          <w14:textFill>
            <w14:solidFill>
              <w14:schemeClr w14:val="tx1"/>
            </w14:solidFill>
          </w14:textFill>
        </w:rPr>
        <w:t>2</w:t>
      </w:r>
    </w:p>
    <w:p>
      <w:pPr>
        <w:jc w:val="center"/>
        <w:rPr>
          <w:rFonts w:cs="LinTimes" w:asciiTheme="minorEastAsia" w:hAnsiTheme="minorEastAsia"/>
          <w:b/>
          <w:color w:val="000000" w:themeColor="text1"/>
          <w:sz w:val="44"/>
          <w:szCs w:val="44"/>
          <w14:textFill>
            <w14:solidFill>
              <w14:schemeClr w14:val="tx1"/>
            </w14:solidFill>
          </w14:textFill>
        </w:rPr>
      </w:pPr>
      <w:r>
        <w:rPr>
          <w:rFonts w:cs="LinTimes" w:asciiTheme="minorEastAsia" w:hAnsiTheme="minorEastAsia"/>
          <w:b/>
          <w:color w:val="000000" w:themeColor="text1"/>
          <w:sz w:val="44"/>
          <w:szCs w:val="44"/>
          <w14:textFill>
            <w14:solidFill>
              <w14:schemeClr w14:val="tx1"/>
            </w14:solidFill>
          </w14:textFill>
        </w:rPr>
        <w:t>临床</w:t>
      </w:r>
      <w:r>
        <w:rPr>
          <w:rFonts w:hint="eastAsia" w:cs="LinTimes" w:asciiTheme="minorEastAsia" w:hAnsiTheme="minorEastAsia"/>
          <w:b/>
          <w:color w:val="000000" w:themeColor="text1"/>
          <w:sz w:val="44"/>
          <w:szCs w:val="44"/>
          <w14:textFill>
            <w14:solidFill>
              <w14:schemeClr w14:val="tx1"/>
            </w14:solidFill>
          </w14:textFill>
        </w:rPr>
        <w:t>、</w:t>
      </w:r>
      <w:r>
        <w:rPr>
          <w:rFonts w:cs="LinTimes" w:asciiTheme="minorEastAsia" w:hAnsiTheme="minorEastAsia"/>
          <w:b/>
          <w:color w:val="000000" w:themeColor="text1"/>
          <w:sz w:val="44"/>
          <w:szCs w:val="44"/>
          <w14:textFill>
            <w14:solidFill>
              <w14:schemeClr w14:val="tx1"/>
            </w14:solidFill>
          </w14:textFill>
        </w:rPr>
        <w:t>中医</w:t>
      </w:r>
      <w:r>
        <w:rPr>
          <w:rFonts w:hint="eastAsia" w:cs="LinTimes" w:asciiTheme="minorEastAsia" w:hAnsiTheme="minorEastAsia"/>
          <w:b/>
          <w:color w:val="000000" w:themeColor="text1"/>
          <w:sz w:val="44"/>
          <w:szCs w:val="44"/>
          <w14:textFill>
            <w14:solidFill>
              <w14:schemeClr w14:val="tx1"/>
            </w14:solidFill>
          </w14:textFill>
        </w:rPr>
        <w:t>、口腔</w:t>
      </w:r>
      <w:r>
        <w:rPr>
          <w:rFonts w:cs="LinTimes" w:asciiTheme="minorEastAsia" w:hAnsiTheme="minorEastAsia"/>
          <w:b/>
          <w:color w:val="000000" w:themeColor="text1"/>
          <w:sz w:val="44"/>
          <w:szCs w:val="44"/>
          <w14:textFill>
            <w14:solidFill>
              <w14:schemeClr w14:val="tx1"/>
            </w14:solidFill>
          </w14:textFill>
        </w:rPr>
        <w:t>专业高级职称评价指标</w:t>
      </w:r>
    </w:p>
    <w:tbl>
      <w:tblPr>
        <w:tblStyle w:val="7"/>
        <w:tblW w:w="14737"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7"/>
        <w:gridCol w:w="1417"/>
        <w:gridCol w:w="2385"/>
        <w:gridCol w:w="4557"/>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82" w:hRule="atLeast"/>
        </w:trPr>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评价维度</w:t>
            </w:r>
          </w:p>
        </w:tc>
        <w:tc>
          <w:tcPr>
            <w:tcW w:w="141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二级指标</w:t>
            </w:r>
          </w:p>
        </w:tc>
        <w:tc>
          <w:tcPr>
            <w:tcW w:w="238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三级指标</w:t>
            </w:r>
          </w:p>
        </w:tc>
        <w:tc>
          <w:tcPr>
            <w:tcW w:w="455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指标定义</w:t>
            </w:r>
          </w:p>
        </w:tc>
        <w:tc>
          <w:tcPr>
            <w:tcW w:w="496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trPr>
        <w:tc>
          <w:tcPr>
            <w:tcW w:w="1417" w:type="dxa"/>
            <w:vMerge w:val="restart"/>
            <w:vAlign w:val="center"/>
          </w:tcPr>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技术</w:t>
            </w:r>
          </w:p>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能力</w:t>
            </w:r>
          </w:p>
        </w:tc>
        <w:tc>
          <w:tcPr>
            <w:tcW w:w="1417" w:type="dxa"/>
            <w:vMerge w:val="restart"/>
            <w:vAlign w:val="center"/>
          </w:tcPr>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出院患者病种范围和例数</w:t>
            </w:r>
          </w:p>
        </w:tc>
        <w:tc>
          <w:tcPr>
            <w:tcW w:w="2385" w:type="dxa"/>
            <w:vAlign w:val="center"/>
          </w:tcPr>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基本病种覆盖率</w:t>
            </w:r>
          </w:p>
        </w:tc>
        <w:tc>
          <w:tcPr>
            <w:tcW w:w="4557"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考核期内医师诊治的本专业出院患者中覆盖的基本病种数占本专业所有基本病种数的比例。</w:t>
            </w:r>
          </w:p>
        </w:tc>
        <w:tc>
          <w:tcPr>
            <w:tcW w:w="4961"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考核期内医师诊治的本专业出院患者覆盖基本病种数/本专业基本病种总数×100%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6"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仿宋" w:hAnsi="仿宋" w:eastAsia="仿宋" w:cs="LinTimes"/>
                <w:bCs/>
                <w:color w:val="000000" w:themeColor="text1"/>
                <w:spacing w:val="-6"/>
                <w:kern w:val="0"/>
                <w:sz w:val="28"/>
                <w:szCs w:val="24"/>
                <w14:textFill>
                  <w14:solidFill>
                    <w14:schemeClr w14:val="tx1"/>
                  </w14:solidFill>
                </w14:textFill>
              </w:rPr>
            </w:pPr>
            <w:r>
              <w:rPr>
                <w:rFonts w:ascii="仿宋" w:hAnsi="仿宋" w:eastAsia="仿宋" w:cs="LinTimes"/>
                <w:bCs/>
                <w:color w:val="000000" w:themeColor="text1"/>
                <w:spacing w:val="-6"/>
                <w:kern w:val="0"/>
                <w:sz w:val="28"/>
                <w:szCs w:val="24"/>
                <w14:textFill>
                  <w14:solidFill>
                    <w14:schemeClr w14:val="tx1"/>
                  </w14:solidFill>
                </w14:textFill>
              </w:rPr>
              <w:t>基本病种诊疗人数</w:t>
            </w:r>
          </w:p>
        </w:tc>
        <w:tc>
          <w:tcPr>
            <w:tcW w:w="4557"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考核期内医师诊治的本专业基本病种出院人数。</w:t>
            </w:r>
          </w:p>
        </w:tc>
        <w:tc>
          <w:tcPr>
            <w:tcW w:w="4961"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考核期内医师诊治的符合本专业基本病种纳入条件的出院人数之和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疑难病种覆盖率</w:t>
            </w:r>
          </w:p>
        </w:tc>
        <w:tc>
          <w:tcPr>
            <w:tcW w:w="4557"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考核期内医师诊治的本专业出院患者中覆盖的疑难病种数占本专业所有疑难病种数的比例。</w:t>
            </w:r>
          </w:p>
        </w:tc>
        <w:tc>
          <w:tcPr>
            <w:tcW w:w="4961"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考核期内医师诊治的本专业出院患者覆盖疑难病种数/本专业疑难病种总数×100%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仿宋" w:hAnsi="仿宋" w:eastAsia="仿宋" w:cs="LinTimes"/>
                <w:bCs/>
                <w:color w:val="000000" w:themeColor="text1"/>
                <w:spacing w:val="-6"/>
                <w:kern w:val="0"/>
                <w:sz w:val="28"/>
                <w:szCs w:val="24"/>
                <w14:textFill>
                  <w14:solidFill>
                    <w14:schemeClr w14:val="tx1"/>
                  </w14:solidFill>
                </w14:textFill>
              </w:rPr>
            </w:pPr>
            <w:r>
              <w:rPr>
                <w:rFonts w:ascii="仿宋" w:hAnsi="仿宋" w:eastAsia="仿宋" w:cs="LinTimes"/>
                <w:bCs/>
                <w:color w:val="000000" w:themeColor="text1"/>
                <w:spacing w:val="-6"/>
                <w:kern w:val="0"/>
                <w:sz w:val="28"/>
                <w:szCs w:val="24"/>
                <w14:textFill>
                  <w14:solidFill>
                    <w14:schemeClr w14:val="tx1"/>
                  </w14:solidFill>
                </w14:textFill>
              </w:rPr>
              <w:t>疑难病种诊疗人数</w:t>
            </w:r>
          </w:p>
        </w:tc>
        <w:tc>
          <w:tcPr>
            <w:tcW w:w="4557"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考核期内医师诊治的本专业疑难病种出院人数。</w:t>
            </w:r>
          </w:p>
        </w:tc>
        <w:tc>
          <w:tcPr>
            <w:tcW w:w="4961" w:type="dxa"/>
            <w:vAlign w:val="center"/>
          </w:tcPr>
          <w:p>
            <w:pPr>
              <w:widowControl/>
              <w:spacing w:line="440" w:lineRule="exact"/>
              <w:jc w:val="left"/>
              <w:rPr>
                <w:rFonts w:ascii="仿宋" w:hAnsi="仿宋" w:eastAsia="仿宋" w:cs="LinTimes"/>
                <w:bCs/>
                <w:color w:val="000000" w:themeColor="text1"/>
                <w:kern w:val="0"/>
                <w:sz w:val="28"/>
                <w:szCs w:val="24"/>
                <w14:textFill>
                  <w14:solidFill>
                    <w14:schemeClr w14:val="tx1"/>
                  </w14:solidFill>
                </w14:textFill>
              </w:rPr>
            </w:pPr>
            <w:r>
              <w:rPr>
                <w:rFonts w:ascii="仿宋" w:hAnsi="仿宋" w:eastAsia="仿宋" w:cs="LinTimes"/>
                <w:bCs/>
                <w:color w:val="000000" w:themeColor="text1"/>
                <w:kern w:val="0"/>
                <w:sz w:val="28"/>
                <w:szCs w:val="24"/>
                <w14:textFill>
                  <w14:solidFill>
                    <w14:schemeClr w14:val="tx1"/>
                  </w14:solidFill>
                </w14:textFill>
              </w:rPr>
              <w:t>考核期内医师诊治的符合本专业疑难病种纳入条件的出院人数之和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评价维度</w:t>
            </w:r>
          </w:p>
        </w:tc>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二级指标</w:t>
            </w:r>
          </w:p>
        </w:tc>
        <w:tc>
          <w:tcPr>
            <w:tcW w:w="2385"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三级指标</w:t>
            </w:r>
          </w:p>
        </w:tc>
        <w:tc>
          <w:tcPr>
            <w:tcW w:w="4557"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指标定义</w:t>
            </w:r>
          </w:p>
        </w:tc>
        <w:tc>
          <w:tcPr>
            <w:tcW w:w="4961"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restart"/>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技术</w:t>
            </w:r>
          </w:p>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能力</w:t>
            </w:r>
          </w:p>
        </w:tc>
        <w:tc>
          <w:tcPr>
            <w:tcW w:w="1417" w:type="dxa"/>
            <w:vMerge w:val="restart"/>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出院患者手术难度和例数</w:t>
            </w: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基本手术覆盖率</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考核期内医师施行的本专业基本手术(或操作)种类数占所有基本手术(或操作)种类数的比例。</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考核期内出院患者中医师施行的本专业手术（或操作）患者覆盖基本手术种类数/本专业基本手术（或操作）种类总数×100%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基本手术人次数</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考核期内医师施行的本专业基本手术(或操作)的人次数。</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考核期内出院患者中医师施行的符合本专业基本手术（或操作）纳入条件的手术人次数之和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疑难手术覆盖率</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考核期内医师施行的本专业疑难手术(或操作)种类数占所有疑难手术(含操作)种类数的比重。</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考核期内出院患者中医师施行的本专业手术（或操作）患者覆盖疑难手术种类数/本专业疑难手术种类总数×100%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62"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疑难手术人次数</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考核期内医师施行的本专业疑难手术(或操作)的人次数。</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考核期内出院患者中医师施行的符合本专业疑难手术（或操作）纳入条件的手术人次数之和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评价维度</w:t>
            </w:r>
          </w:p>
        </w:tc>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二级指标</w:t>
            </w:r>
          </w:p>
        </w:tc>
        <w:tc>
          <w:tcPr>
            <w:tcW w:w="2385"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三级指标</w:t>
            </w:r>
          </w:p>
        </w:tc>
        <w:tc>
          <w:tcPr>
            <w:tcW w:w="4557"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指标定义</w:t>
            </w:r>
          </w:p>
        </w:tc>
        <w:tc>
          <w:tcPr>
            <w:tcW w:w="4961"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2" w:hRule="atLeast"/>
        </w:trPr>
        <w:tc>
          <w:tcPr>
            <w:tcW w:w="1417" w:type="dxa"/>
            <w:vMerge w:val="restart"/>
            <w:vAlign w:val="center"/>
          </w:tcPr>
          <w:p>
            <w:pPr>
              <w:widowControl/>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技术</w:t>
            </w:r>
          </w:p>
          <w:p>
            <w:pPr>
              <w:widowControl/>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能力</w:t>
            </w:r>
          </w:p>
        </w:tc>
        <w:tc>
          <w:tcPr>
            <w:tcW w:w="1417" w:type="dxa"/>
            <w:vMerge w:val="restart"/>
            <w:vAlign w:val="center"/>
          </w:tcPr>
          <w:p>
            <w:pPr>
              <w:widowControl/>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中医治疗情况</w:t>
            </w:r>
          </w:p>
        </w:tc>
        <w:tc>
          <w:tcPr>
            <w:tcW w:w="2385"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以中医为主治疗的出院患者比例</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考核期内医师以中医为主治疗本专业出院患者的比例。</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考核期内医师以中医为主治疗的本专业出院患者数量/本专业出院患者总数</w:t>
            </w:r>
            <w:r>
              <w:rPr>
                <w:rFonts w:hint="eastAsia" w:ascii="仿宋_GB2312" w:hAnsi="仿宋_GB2312" w:eastAsia="仿宋_GB2312" w:cs="仿宋_GB2312"/>
                <w:bCs/>
                <w:color w:val="000000" w:themeColor="text1"/>
                <w:kern w:val="0"/>
                <w:sz w:val="28"/>
                <w:szCs w:val="2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中药饮片处方比</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考核期内医师对出院患者开具的中药饮片处方占所有处方的比例。</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考核期内医师对出院患者开具的中药饮片处方数/所有处方总数</w:t>
            </w:r>
            <w:r>
              <w:rPr>
                <w:rFonts w:hint="eastAsia" w:ascii="仿宋_GB2312" w:hAnsi="仿宋_GB2312" w:eastAsia="仿宋_GB2312" w:cs="仿宋_GB2312"/>
                <w:bCs/>
                <w:color w:val="000000" w:themeColor="text1"/>
                <w:kern w:val="0"/>
                <w:sz w:val="28"/>
                <w:szCs w:val="2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8"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spacing w:line="44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中医治疗疑难危重病患者数量</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考核期内医师诊治的本专业疑难病数量。</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考核期内出院患者中医诊治的本专业疑难病数量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spacing w:line="440" w:lineRule="exact"/>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中医非药物疗法使用率</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考核期内医师诊治的出院患者使用中医非药物疗法的比例。</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考核期内医师诊治的出院患者使用中医非药物疗法数量/中医药物和非药物疗法总数</w:t>
            </w:r>
            <w:r>
              <w:rPr>
                <w:rFonts w:hint="eastAsia" w:ascii="仿宋_GB2312" w:hAnsi="仿宋_GB2312" w:eastAsia="仿宋_GB2312" w:cs="仿宋_GB2312"/>
                <w:bCs/>
                <w:color w:val="000000" w:themeColor="text1"/>
                <w:kern w:val="0"/>
                <w:sz w:val="28"/>
                <w:szCs w:val="28"/>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trPr>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1417" w:type="dxa"/>
            <w:vMerge w:val="continue"/>
            <w:vAlign w:val="center"/>
          </w:tcPr>
          <w:p>
            <w:pPr>
              <w:widowControl/>
              <w:jc w:val="left"/>
              <w:rPr>
                <w:rFonts w:ascii="仿宋" w:hAnsi="仿宋" w:eastAsia="仿宋" w:cs="LinTimes"/>
                <w:bCs/>
                <w:color w:val="000000" w:themeColor="text1"/>
                <w:kern w:val="0"/>
                <w:sz w:val="28"/>
                <w:szCs w:val="24"/>
                <w14:textFill>
                  <w14:solidFill>
                    <w14:schemeClr w14:val="tx1"/>
                  </w14:solidFill>
                </w14:textFill>
              </w:rPr>
            </w:pPr>
          </w:p>
        </w:tc>
        <w:tc>
          <w:tcPr>
            <w:tcW w:w="2385" w:type="dxa"/>
            <w:vAlign w:val="center"/>
          </w:tcPr>
          <w:p>
            <w:pPr>
              <w:widowControl/>
              <w:jc w:val="center"/>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中医药治疗疗效</w:t>
            </w:r>
          </w:p>
        </w:tc>
        <w:tc>
          <w:tcPr>
            <w:tcW w:w="4557"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考核期内医师用中医药方法治疗本专业疾病疗效</w:t>
            </w:r>
            <w:r>
              <w:rPr>
                <w:rFonts w:ascii="仿宋_GB2312" w:hAnsi="仿宋_GB2312" w:eastAsia="仿宋_GB2312" w:cs="仿宋_GB2312"/>
                <w:color w:val="000000" w:themeColor="text1"/>
                <w:kern w:val="0"/>
                <w:sz w:val="28"/>
                <w:szCs w:val="28"/>
                <w14:textFill>
                  <w14:solidFill>
                    <w14:schemeClr w14:val="tx1"/>
                  </w14:solidFill>
                </w14:textFill>
              </w:rPr>
              <w:t>。</w:t>
            </w:r>
          </w:p>
        </w:tc>
        <w:tc>
          <w:tcPr>
            <w:tcW w:w="4961" w:type="dxa"/>
            <w:vAlign w:val="center"/>
          </w:tcPr>
          <w:p>
            <w:pPr>
              <w:widowControl/>
              <w:spacing w:line="440" w:lineRule="exact"/>
              <w:jc w:val="left"/>
              <w:rPr>
                <w:rFonts w:ascii="仿宋_GB2312" w:hAnsi="仿宋_GB2312" w:eastAsia="仿宋_GB2312" w:cs="仿宋_GB2312"/>
                <w:color w:val="000000" w:themeColor="text1"/>
                <w:kern w:val="0"/>
                <w:sz w:val="28"/>
                <w:szCs w:val="28"/>
                <w14:textFill>
                  <w14:solidFill>
                    <w14:schemeClr w14:val="tx1"/>
                  </w14:solidFill>
                </w14:textFill>
              </w:rPr>
            </w:pPr>
            <w:r>
              <w:rPr>
                <w:rFonts w:hint="eastAsia" w:ascii="仿宋_GB2312" w:hAnsi="仿宋_GB2312" w:eastAsia="仿宋_GB2312" w:cs="仿宋_GB2312"/>
                <w:color w:val="000000" w:themeColor="text1"/>
                <w:kern w:val="0"/>
                <w:sz w:val="28"/>
                <w:szCs w:val="28"/>
                <w14:textFill>
                  <w14:solidFill>
                    <w14:schemeClr w14:val="tx1"/>
                  </w14:solidFill>
                </w14:textFill>
              </w:rPr>
              <w:t>同行评议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评价维度</w:t>
            </w:r>
          </w:p>
        </w:tc>
        <w:tc>
          <w:tcPr>
            <w:tcW w:w="1417"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二级指标</w:t>
            </w:r>
          </w:p>
        </w:tc>
        <w:tc>
          <w:tcPr>
            <w:tcW w:w="2385" w:type="dxa"/>
            <w:vAlign w:val="center"/>
          </w:tcPr>
          <w:p>
            <w:pPr>
              <w:widowControl/>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三级指标</w:t>
            </w:r>
          </w:p>
        </w:tc>
        <w:tc>
          <w:tcPr>
            <w:tcW w:w="4557"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指标定义</w:t>
            </w:r>
          </w:p>
        </w:tc>
        <w:tc>
          <w:tcPr>
            <w:tcW w:w="4961" w:type="dxa"/>
            <w:vAlign w:val="center"/>
          </w:tcPr>
          <w:p>
            <w:pPr>
              <w:widowControl/>
              <w:spacing w:line="440" w:lineRule="exact"/>
              <w:jc w:val="center"/>
              <w:rPr>
                <w:rFonts w:ascii="黑体" w:hAnsi="黑体" w:eastAsia="黑体" w:cs="LinTimes"/>
                <w:bCs/>
                <w:color w:val="000000" w:themeColor="text1"/>
                <w:kern w:val="0"/>
                <w:sz w:val="28"/>
                <w:szCs w:val="24"/>
                <w14:textFill>
                  <w14:solidFill>
                    <w14:schemeClr w14:val="tx1"/>
                  </w14:solidFill>
                </w14:textFill>
              </w:rPr>
            </w:pPr>
            <w:r>
              <w:rPr>
                <w:rFonts w:ascii="黑体" w:hAnsi="黑体" w:eastAsia="黑体" w:cs="LinTimes"/>
                <w:bCs/>
                <w:color w:val="000000" w:themeColor="text1"/>
                <w:kern w:val="0"/>
                <w:sz w:val="28"/>
                <w:szCs w:val="24"/>
                <w14:textFill>
                  <w14:solidFill>
                    <w14:schemeClr w14:val="tx1"/>
                  </w14:solidFill>
                </w14:textFill>
              </w:rPr>
              <w:t>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9" w:hRule="atLeast"/>
        </w:trPr>
        <w:tc>
          <w:tcPr>
            <w:tcW w:w="1417"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质量</w:t>
            </w:r>
          </w:p>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安全</w:t>
            </w:r>
          </w:p>
        </w:tc>
        <w:tc>
          <w:tcPr>
            <w:tcW w:w="1417" w:type="dxa"/>
            <w:vAlign w:val="center"/>
          </w:tcPr>
          <w:p>
            <w:pPr>
              <w:widowControl/>
              <w:spacing w:line="40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并发症</w:t>
            </w:r>
          </w:p>
          <w:p>
            <w:pPr>
              <w:widowControl/>
              <w:spacing w:line="40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发生率</w:t>
            </w:r>
          </w:p>
        </w:tc>
        <w:tc>
          <w:tcPr>
            <w:tcW w:w="2385" w:type="dxa"/>
            <w:vAlign w:val="center"/>
          </w:tcPr>
          <w:p>
            <w:pPr>
              <w:widowControl/>
              <w:spacing w:line="44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出院患者并发症发生率</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考核期内医师诊治的出院患者在住院期间因治疗或者施行某种择期手术或操作而发生并发症的例数占同期医师诊治的出院人数的比例。</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考核期内医师诊治的出院患者在住院期间因治疗或者施行某种择期手术或操作而发生并发症的人数/同期该医师诊治的所有出院人数×100%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3" w:hRule="atLeast"/>
        </w:trPr>
        <w:tc>
          <w:tcPr>
            <w:tcW w:w="1417"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资源</w:t>
            </w:r>
          </w:p>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利用</w:t>
            </w:r>
          </w:p>
        </w:tc>
        <w:tc>
          <w:tcPr>
            <w:tcW w:w="1417" w:type="dxa"/>
            <w:vAlign w:val="center"/>
          </w:tcPr>
          <w:p>
            <w:pPr>
              <w:widowControl/>
              <w:spacing w:line="40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spacing w:val="-23"/>
                <w:kern w:val="0"/>
                <w:sz w:val="28"/>
                <w:szCs w:val="28"/>
                <w14:textFill>
                  <w14:solidFill>
                    <w14:schemeClr w14:val="tx1"/>
                  </w14:solidFill>
                </w14:textFill>
              </w:rPr>
              <w:t>平均住院日</w:t>
            </w:r>
          </w:p>
        </w:tc>
        <w:tc>
          <w:tcPr>
            <w:tcW w:w="2385"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平均住院日</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考核期内医师诊治的某病种出院患者平均住院时间。</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考核期内医师诊治的某病种出院患者占用总床日数/同期该医师诊治的同病种出院人数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9" w:hRule="atLeast"/>
        </w:trPr>
        <w:tc>
          <w:tcPr>
            <w:tcW w:w="1417" w:type="dxa"/>
            <w:vAlign w:val="center"/>
          </w:tcPr>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患者</w:t>
            </w:r>
          </w:p>
          <w:p>
            <w:pPr>
              <w:widowControl/>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管理</w:t>
            </w:r>
          </w:p>
        </w:tc>
        <w:tc>
          <w:tcPr>
            <w:tcW w:w="1417" w:type="dxa"/>
            <w:vAlign w:val="center"/>
          </w:tcPr>
          <w:p>
            <w:pPr>
              <w:widowControl/>
              <w:spacing w:line="400" w:lineRule="exact"/>
              <w:jc w:val="center"/>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次均费用</w:t>
            </w:r>
          </w:p>
        </w:tc>
        <w:tc>
          <w:tcPr>
            <w:tcW w:w="2385" w:type="dxa"/>
            <w:vAlign w:val="center"/>
          </w:tcPr>
          <w:p>
            <w:pPr>
              <w:widowControl/>
              <w:jc w:val="center"/>
              <w:rPr>
                <w:rFonts w:ascii="LinTimes" w:hAnsi="LinTimes" w:eastAsia="仿宋_GB2312" w:cs="LinTimes"/>
                <w:bCs/>
                <w:color w:val="000000" w:themeColor="text1"/>
                <w:spacing w:val="-6"/>
                <w:kern w:val="0"/>
                <w:sz w:val="28"/>
                <w:szCs w:val="28"/>
                <w14:textFill>
                  <w14:solidFill>
                    <w14:schemeClr w14:val="tx1"/>
                  </w14:solidFill>
                </w14:textFill>
              </w:rPr>
            </w:pPr>
            <w:r>
              <w:rPr>
                <w:rFonts w:ascii="LinTimes" w:hAnsi="LinTimes" w:eastAsia="仿宋_GB2312" w:cs="LinTimes"/>
                <w:bCs/>
                <w:color w:val="000000" w:themeColor="text1"/>
                <w:spacing w:val="-6"/>
                <w:kern w:val="0"/>
                <w:sz w:val="28"/>
                <w:szCs w:val="28"/>
                <w14:textFill>
                  <w14:solidFill>
                    <w14:schemeClr w14:val="tx1"/>
                  </w14:solidFill>
                </w14:textFill>
              </w:rPr>
              <w:t>住院患者次均费用</w:t>
            </w:r>
          </w:p>
        </w:tc>
        <w:tc>
          <w:tcPr>
            <w:tcW w:w="4557"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考核期内医师诊治的某病种出院患者平均住院费用。</w:t>
            </w:r>
          </w:p>
        </w:tc>
        <w:tc>
          <w:tcPr>
            <w:tcW w:w="4961" w:type="dxa"/>
            <w:vAlign w:val="center"/>
          </w:tcPr>
          <w:p>
            <w:pPr>
              <w:widowControl/>
              <w:spacing w:line="440" w:lineRule="exact"/>
              <w:jc w:val="left"/>
              <w:rPr>
                <w:rFonts w:ascii="LinTimes" w:hAnsi="LinTimes" w:eastAsia="仿宋_GB2312" w:cs="LinTimes"/>
                <w:bCs/>
                <w:color w:val="000000" w:themeColor="text1"/>
                <w:kern w:val="0"/>
                <w:sz w:val="28"/>
                <w:szCs w:val="28"/>
                <w14:textFill>
                  <w14:solidFill>
                    <w14:schemeClr w14:val="tx1"/>
                  </w14:solidFill>
                </w14:textFill>
              </w:rPr>
            </w:pPr>
            <w:r>
              <w:rPr>
                <w:rFonts w:ascii="LinTimes" w:hAnsi="LinTimes" w:eastAsia="仿宋_GB2312" w:cs="LinTimes"/>
                <w:bCs/>
                <w:color w:val="000000" w:themeColor="text1"/>
                <w:kern w:val="0"/>
                <w:sz w:val="28"/>
                <w:szCs w:val="28"/>
                <w14:textFill>
                  <w14:solidFill>
                    <w14:schemeClr w14:val="tx1"/>
                  </w14:solidFill>
                </w14:textFill>
              </w:rPr>
              <w:t>考核期内医师诊治的某病种出院患者总住院费用/同期该医师诊治的同病种出院人数</w:t>
            </w:r>
          </w:p>
        </w:tc>
      </w:tr>
    </w:tbl>
    <w:p>
      <w:pPr>
        <w:spacing w:before="156" w:beforeLines="50" w:line="320" w:lineRule="exact"/>
        <w:rPr>
          <w:rFonts w:ascii="LinTimes" w:hAnsi="LinTimes" w:eastAsia="楷体" w:cs="LinTimes"/>
          <w:color w:val="000000" w:themeColor="text1"/>
          <w:sz w:val="24"/>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注：1. 某专业基本病种、疑难病种、基本手术、疑难手术由专家共识和大数据统计结果形成。</w:t>
      </w:r>
    </w:p>
    <w:p>
      <w:pPr>
        <w:spacing w:line="320" w:lineRule="exact"/>
        <w:ind w:firstLine="476"/>
        <w:rPr>
          <w:rFonts w:hAnsi="Calibri"/>
          <w:bCs/>
          <w:color w:val="000000" w:themeColor="text1"/>
          <w:sz w:val="32"/>
          <w:szCs w:val="32"/>
          <w14:textFill>
            <w14:solidFill>
              <w14:schemeClr w14:val="tx1"/>
            </w14:solidFill>
          </w14:textFill>
        </w:rPr>
      </w:pPr>
      <w:r>
        <w:rPr>
          <w:rFonts w:ascii="LinTimes" w:hAnsi="LinTimes" w:eastAsia="楷体" w:cs="LinTimes"/>
          <w:color w:val="000000" w:themeColor="text1"/>
          <w:sz w:val="24"/>
          <w14:textFill>
            <w14:solidFill>
              <w14:schemeClr w14:val="tx1"/>
            </w14:solidFill>
          </w14:textFill>
        </w:rPr>
        <w:t>2. 手术人次计算：患者在1次住院期间施行多次手术，按实际手术次数统计；在1次手术中涉及多个部位手术的按1次统计。</w:t>
      </w:r>
      <w:r>
        <w:rPr>
          <w:rFonts w:hint="eastAsia" w:hAnsi="Calibri"/>
          <w:bCs/>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480" w:firstLineChars="200"/>
        <w:rPr>
          <w:rFonts w:ascii="LinTimes" w:hAnsi="LinTimes" w:eastAsia="楷体" w:cs="LinTimes"/>
          <w:color w:val="000000" w:themeColor="text1"/>
          <w14:textFill>
            <w14:solidFill>
              <w14:schemeClr w14:val="tx1"/>
            </w14:solidFill>
          </w14:textFill>
        </w:rPr>
      </w:pPr>
      <w:r>
        <w:rPr>
          <w:rFonts w:ascii="LinTimes" w:hAnsi="LinTimes" w:eastAsia="楷体" w:cs="LinTimes"/>
          <w:color w:val="000000" w:themeColor="text1"/>
          <w14:textFill>
            <w14:solidFill>
              <w14:schemeClr w14:val="tx1"/>
            </w14:solidFill>
          </w14:textFill>
        </w:rPr>
        <w:t>3. 中药饮片处方比和中医非药物疗法使用率两个指标可任选其一，也可同时使用，视各地具体情况确定。</w:t>
      </w:r>
    </w:p>
    <w:p>
      <w:pPr>
        <w:widowControl/>
        <w:jc w:val="left"/>
        <w:rPr>
          <w:rFonts w:ascii="LinTimes" w:hAnsi="LinTimes" w:eastAsia="楷体" w:cs="LinTimes"/>
          <w:color w:val="000000" w:themeColor="text1"/>
          <w:kern w:val="0"/>
          <w:sz w:val="24"/>
          <w:szCs w:val="24"/>
          <w14:textFill>
            <w14:solidFill>
              <w14:schemeClr w14:val="tx1"/>
            </w14:solidFill>
          </w14:textFill>
        </w:rPr>
      </w:pPr>
      <w:r>
        <w:rPr>
          <w:rFonts w:ascii="LinTimes" w:hAnsi="LinTimes" w:eastAsia="楷体" w:cs="LinTimes"/>
          <w:color w:val="000000" w:themeColor="text1"/>
          <w14:textFill>
            <w14:solidFill>
              <w14:schemeClr w14:val="tx1"/>
            </w14:solidFill>
          </w14:textFill>
        </w:rPr>
        <w:br w:type="page"/>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pStyle w:val="5"/>
        <w:shd w:val="clear" w:color="auto" w:fill="FFFFFF"/>
        <w:spacing w:before="0" w:beforeAutospacing="0" w:after="0" w:afterAutospacing="0"/>
        <w:jc w:val="center"/>
        <w:rPr>
          <w:rFonts w:asciiTheme="majorEastAsia" w:hAnsiTheme="majorEastAsia" w:eastAsiaTheme="majorEastAsia"/>
          <w:color w:val="000000" w:themeColor="text1"/>
          <w:spacing w:val="-20"/>
          <w:sz w:val="44"/>
          <w:szCs w:val="44"/>
          <w14:textFill>
            <w14:solidFill>
              <w14:schemeClr w14:val="tx1"/>
            </w14:solidFill>
          </w14:textFill>
        </w:rPr>
      </w:pPr>
      <w:r>
        <w:rPr>
          <w:rFonts w:hint="eastAsia" w:asciiTheme="majorEastAsia" w:hAnsiTheme="majorEastAsia" w:eastAsiaTheme="majorEastAsia"/>
          <w:color w:val="000000" w:themeColor="text1"/>
          <w:spacing w:val="-20"/>
          <w:sz w:val="44"/>
          <w:szCs w:val="44"/>
          <w14:textFill>
            <w14:solidFill>
              <w14:schemeClr w14:val="tx1"/>
            </w14:solidFill>
          </w14:textFill>
        </w:rPr>
        <w:t>河南省</w:t>
      </w:r>
      <w:r>
        <w:rPr>
          <w:rFonts w:asciiTheme="majorEastAsia" w:hAnsiTheme="majorEastAsia" w:eastAsiaTheme="majorEastAsia"/>
          <w:color w:val="000000" w:themeColor="text1"/>
          <w:spacing w:val="-20"/>
          <w:sz w:val="44"/>
          <w:szCs w:val="44"/>
          <w14:textFill>
            <w14:solidFill>
              <w14:schemeClr w14:val="tx1"/>
            </w14:solidFill>
          </w14:textFill>
        </w:rPr>
        <w:t>卫生系列基层高级职称申报评审条件</w:t>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（护理类）</w:t>
      </w:r>
      <w:r>
        <w:rPr>
          <w:rFonts w:hint="eastAsia" w:asciiTheme="majorEastAsia" w:hAnsiTheme="majorEastAsia" w:eastAsiaTheme="majorEastAsia"/>
          <w:color w:val="000000" w:themeColor="text1"/>
          <w:sz w:val="44"/>
          <w:szCs w:val="44"/>
          <w:lang w:eastAsia="zh-CN"/>
          <w14:textFill>
            <w14:solidFill>
              <w14:schemeClr w14:val="tx1"/>
            </w14:solidFill>
          </w14:textFill>
        </w:rPr>
        <w:t>（征求意见稿）</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总则</w:t>
      </w: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为了客观、公正、科学地评价基层卫生专业技术人员的能力与水平，建立完善考评结合的人才评价机制，鼓励卫生专业技术人员服务基层，为强基层、保基本、建机制和建立分级诊疗制度提供人才支持，根据人力资源社会保障部、国家卫生健康委、国家中医药局《关于深化卫生专业技术人员职称制度改革的指导意见》（人社部发〔2021〕51 号）和我省职称改革有关政策规定，结合我省实际，制定本条件。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二、本条件适用于全省基层医疗卫生机构中从事护理类专业的卫生专业技术人员，含在编或签订正式聘用合同的人员，不含上级机构派出人员。基层医疗卫生机构包括：</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二、本条件适用于全省基层医疗卫生机构中从事医疗类专业的卫生专业技术人员，含在编或签订正式聘用合同的人员，不含上级机构派出人员。基层医疗卫生机构包括：</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（一）县（市、区）级医疗卫生机构，包括县级公立医院、专业公共卫生机构；</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（二）乡镇（街道）卫生院、社区服务中心（站）、村卫生室；</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（三）县（市、区）卫生健康行政部门审批的医疗卫生机构；</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（四）在县（市）域内登记的省辖市卫生健康行政部门审批的医疗卫生机构。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三、卫生系列护理类基层副高级职称的名称为基层副主任护师和乡镇社区副主任护师，基层正高级职称的名称为基层主任护师。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四、卫生系列护理类高级职称的申报须符合我省结构比例控制标准规定，社会办医疗卫生机构可参照执行。</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基层卫生专业技术人员可申报全省高级职称评审，也可申报基层高级职称评审；乡镇（街道）卫生院、社区服务中心（站）、村卫生室卫生专业技术人员可申报基层副高级职称评审，也可申报乡镇社区副高级职称评审。但同一晋升年度，不能同时申报。卫生系列基层高级职称仅限于在基层医疗卫生机构聘任，乡镇社区副高级职称仅限于在乡镇（街道）卫生院、社区服务中心（站）、村卫生室聘任。如需到适用范围以外的医疗卫生机构任职须重新申报并取得相应的高级职称，任职年限可累计计算。</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六、乡镇（街道）卫生院、社区服务中心（站）以及村卫生室人员申报乡镇社区副高级职称的，业务水平考试单独划分合格分数线。</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为基层卫生专业技术人员申报和评审委员会评审时掌握的基本条件，评审委员会可依据本条件制定相应的实施办法。用人单位向评审委员会推荐人员的条件，由用人单位根据本条件和单位业务工作实际制定，但不得低于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八、本条件适用专业包括：内科护理、外科护理、妇科护理、儿科护理、中医护理、护理学。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适用专业根据卫生健康行业发展和需要适时调整。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分则</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一、申报条件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（一）遵守国家宪法和法律，贯彻新时代卫生与健康工作方针，自觉践行“敬佑生命、救死扶伤、甘于奉献、大爱无疆”的职业精神，具备良好的政治素质、协作精神、敬业精神和医德医风。</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（二）身心健康，心理素质良好，能全面履行岗位职责。</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（三）任现职以来（近5年）年度考核均为合格以上。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（四）取得护士资格，并按有关规定注册，取得相应的执业证书。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（五）申报基层高级职称须在基层医疗卫生机构聘任满1年，申报乡镇社区副高级职称须在乡镇（街道）卫生院、社区服务中心（站）以及村卫生室聘任满5年。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（六）学历和任职年限分别符合以下要求。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1.申报基层副主任护师职称，需具备护理、助产专业大学本科及以上学历或学士及以上学位，受聘担任主管护师职务满5年；或具备护理、助产专业大专学历，受聘担任主管护师职务满7年。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2.申报基层主任护师职称，需具备护理、助产专业大学本科及以上学历或学士及以上学位，受聘担任副主任护师职务满5年。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申报乡镇社区副主任护师职称，需具备护理、助产专业大学本科以上学历或学士及以上学位，受聘担任主管护师职务满4年；或具备护理、助产专业大专学历，受聘担任主管护师职务满6年；或具备护理、助产专业中专学历，受聘担任主管护师职务满7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（七）完成健康科普工作要求。开展健康科普知识宣讲，每年不少于2次；或者在各级卫生健康部门和县级以上医疗机构等新媒体平台发表健康科普文章、音视频作品每年不少于2篇（条）。</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（八）任现职以来完成规定的工作量要求（详见附表1）。</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二、评审条件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（一）专业能力要求。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推广应用，熟悉本专业相关的法律、法规、标准与技术规范。有较丰富的基层卫生工作经验，能够正确按照护理程序开展临床护理工作，熟练掌握本专科病人的护理要点、治疗原则，能熟练地配合医生抢救本专业危重病人。具有指导本专业下级护理人员的能力。</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护师水平的基础上，精通护理学某一专科的基本理论知识与技能，并有所专长。深入了解本专业国内外现状及发展趋势，不断吸取新理论、新知识、新技术并用于临床实践。具有丰富的基层卫生工作经验，能独立解决复杂或重大技术问题，具有指导本专业下级护理人员的能力。</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（二）工作业绩要求。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工作业绩实行成果代表作制度。申报基层副主任护师和基层主任护师提交任现职以来代表个人专业技术能力和水平的标志性工作业绩2项以上（第1项为必备）；申报乡镇社区副主任护师提交第1项。</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（1）解决护理专业多学科合作疑难复杂问题、参与开展新技术或新业务形成的护理案例、操作视频、应急处置情况报告等。须附相关原始资料。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（2）率先在本单位或本地区开展的新技术或新项目，解决基层技术难题，并取得良好的医疗服务效益。须附相关原始资料。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（3）结合本专业临床实践，在推荐学术期刊上发表的本专业论文1篇（不少于2500字）。须附相关原始资料。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（4）主持或参与的课题研究报告、获得的科技奖励等。</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（5）吸取新理论、新知识、新技术形成的与护理专业相关的发明专利</w:t>
      </w:r>
      <w:r>
        <w:rPr>
          <w:rFonts w:hint="eastAsia" w:ascii="仿宋" w:hAnsi="仿宋" w:eastAsia="仿宋"/>
          <w:color w:val="000000" w:themeColor="text1"/>
          <w:sz w:val="32"/>
          <w:szCs w:val="32"/>
          <w:lang w:val="en-US" w:eastAsia="zh-CN"/>
          <w14:textFill>
            <w14:solidFill>
              <w14:schemeClr w14:val="tx1"/>
            </w14:solidFill>
          </w14:textFill>
        </w:rPr>
        <w:t>1项</w:t>
      </w:r>
      <w:r>
        <w:rPr>
          <w:rFonts w:hint="eastAsia" w:ascii="仿宋" w:hAnsi="仿宋" w:eastAsia="仿宋"/>
          <w:color w:val="000000" w:themeColor="text1"/>
          <w:sz w:val="32"/>
          <w:szCs w:val="32"/>
          <w14:textFill>
            <w14:solidFill>
              <w14:schemeClr w14:val="tx1"/>
            </w14:solidFill>
          </w14:textFill>
        </w:rPr>
        <w:t>（限第1原始发明人）,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2.主任护师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 熟练解决护理专业多学科合作的疑难复杂问题、主持开展新技术新业务形成的高质量护理案例、操作视频、应急处置情况报告等。须附相关原始资料。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（2）率先在本单位或本地区开展的新技术或新项目，解决基层技术难题，并取得良好的医疗服务效益。须附相关原始资料。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（3）结合本专业临床实践，在推荐学术期刊上发表的本专业论文2篇（每篇不少于2500字）。须附相关原始资料。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（4）主持的课题研究报告、获得的科技奖励等（限第1名）。</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（5）吸取新理论、新知识、新技术形成的与护理专业相关的发明专利</w:t>
      </w:r>
      <w:r>
        <w:rPr>
          <w:rFonts w:hint="eastAsia" w:ascii="仿宋" w:hAnsi="仿宋" w:eastAsia="仿宋"/>
          <w:color w:val="000000" w:themeColor="text1"/>
          <w:sz w:val="32"/>
          <w:szCs w:val="32"/>
          <w:lang w:val="en-US" w:eastAsia="zh-CN"/>
          <w14:textFill>
            <w14:solidFill>
              <w14:schemeClr w14:val="tx1"/>
            </w14:solidFill>
          </w14:textFill>
        </w:rPr>
        <w:t>1项</w:t>
      </w:r>
      <w:r>
        <w:rPr>
          <w:rFonts w:hint="eastAsia" w:ascii="仿宋" w:hAnsi="仿宋" w:eastAsia="仿宋"/>
          <w:color w:val="000000" w:themeColor="text1"/>
          <w:sz w:val="32"/>
          <w:szCs w:val="32"/>
          <w14:textFill>
            <w14:solidFill>
              <w14:schemeClr w14:val="tx1"/>
            </w14:solidFill>
          </w14:textFill>
        </w:rPr>
        <w:t>（限第1原始发明人）,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（6）参与研究并形成的技术规范、卫生标准、临床指南或专家共识1项。</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三、申报材料要求</w:t>
      </w:r>
      <w:r>
        <w:rPr>
          <w:rFonts w:ascii="黑体" w:hAnsi="黑体" w:eastAsia="黑体"/>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护理专业技术人员在任期内须每年向单位提交本人在实际工作中解决本专业复杂疑难问题的护理案例报告5份（每份2000字以上），并附相关原始资料，由单位随机抽取5份参加评审（近5年每年抽取1份）。</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附则</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一、本条件所称“以上”“以下”均含本级或本数量。</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二、本条件所称“学历”指国家教育行政部门承认的医学相关专业学历，申报专业应与学历专业一致。取得国（境）外相应学历学位的人员，需提供国家教育部国（境）外学历学位认证书。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三、本条件规定的申报条件和评审条件应同时具备，病案、专题报告、论文、技术专利、科研成果等业绩均应为聘任现职称以来取得，全日制脱产学习期间取得的业绩不可参评。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所提及的论文均限独著或第一作者，不含通讯作者，出现并列第一作者的文章仅供排名第一者使用。论文发表的刊物不含增刊、特刊、专刊、论文汇集等，综述、个案报道、通讯报道、科普性文章等不作为评审论文对待。SCI论文影响因子小于2.0的视为一篇三类期刊论文，2.0以上小于3.0的视为一篇二类期刊论文，3.0以上的视为一篇一类期刊论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五、跨系列（非卫生系列转评卫生系列）或跨类别（医、药、护、技）转评的，聘任现卫生职称年限仍须符合本条件要求。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六、期刊目录的制定与分类由高评会征求各专业专家意见确定并适时进行动态调整。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七、本条件由河南省人力资源和社会保障厅、河南省卫生健康委员会负责解释。未涉及的事项，按国家和省有关文件规定执行。</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八、本条件自  年  月  日起施行。</w:t>
      </w:r>
    </w:p>
    <w:p>
      <w:pPr>
        <w:widowControl/>
        <w:jc w:val="left"/>
        <w:rPr>
          <w:rFonts w:ascii="仿宋" w:hAnsi="仿宋" w:eastAsia="仿宋" w:cs="宋体"/>
          <w:color w:val="000000" w:themeColor="text1"/>
          <w:kern w:val="0"/>
          <w:sz w:val="32"/>
          <w:szCs w:val="32"/>
          <w14:textFill>
            <w14:solidFill>
              <w14:schemeClr w14:val="tx1"/>
            </w14:solidFill>
          </w14:textFill>
        </w:rPr>
        <w:sectPr>
          <w:pgSz w:w="11906" w:h="16838"/>
          <w:pgMar w:top="1440" w:right="1797" w:bottom="1440" w:left="1797" w:header="851" w:footer="992" w:gutter="0"/>
          <w:cols w:space="425" w:num="1"/>
          <w:docGrid w:type="lines" w:linePitch="312" w:charSpace="0"/>
        </w:sectPr>
      </w:pPr>
    </w:p>
    <w:p>
      <w:pP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p>
    <w:p>
      <w:pPr>
        <w:jc w:val="center"/>
        <w:rPr>
          <w:rFonts w:asciiTheme="minorEastAsia" w:hAnsiTheme="minorEastAsia"/>
          <w:color w:val="000000" w:themeColor="text1"/>
          <w:sz w:val="44"/>
          <w:szCs w:val="44"/>
          <w14:textFill>
            <w14:solidFill>
              <w14:schemeClr w14:val="tx1"/>
            </w14:solidFill>
          </w14:textFill>
        </w:rPr>
      </w:pPr>
      <w:r>
        <w:rPr>
          <w:rFonts w:hint="eastAsia" w:cs="LinTimes" w:asciiTheme="minorEastAsia" w:hAnsiTheme="minorEastAsia"/>
          <w:b/>
          <w:color w:val="000000" w:themeColor="text1"/>
          <w:kern w:val="0"/>
          <w:sz w:val="44"/>
          <w:szCs w:val="44"/>
          <w:lang w:bidi="ar"/>
          <w14:textFill>
            <w14:solidFill>
              <w14:schemeClr w14:val="tx1"/>
            </w14:solidFill>
          </w14:textFill>
        </w:rPr>
        <w:t>护理专业晋升高级职称工作量要求</w:t>
      </w:r>
    </w:p>
    <w:tbl>
      <w:tblPr>
        <w:tblStyle w:val="8"/>
        <w:tblW w:w="13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8"/>
        <w:gridCol w:w="851"/>
        <w:gridCol w:w="3969"/>
        <w:gridCol w:w="4252"/>
        <w:gridCol w:w="20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评价项目</w:t>
            </w:r>
          </w:p>
        </w:tc>
        <w:tc>
          <w:tcPr>
            <w:tcW w:w="851"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单位</w:t>
            </w:r>
          </w:p>
        </w:tc>
        <w:tc>
          <w:tcPr>
            <w:tcW w:w="3969"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晋升</w:t>
            </w:r>
          </w:p>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副主任护师</w:t>
            </w:r>
          </w:p>
        </w:tc>
        <w:tc>
          <w:tcPr>
            <w:tcW w:w="4252"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晋升</w:t>
            </w:r>
          </w:p>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主任护师</w:t>
            </w:r>
          </w:p>
        </w:tc>
        <w:tc>
          <w:tcPr>
            <w:tcW w:w="2084" w:type="dxa"/>
            <w:vAlign w:val="center"/>
          </w:tcPr>
          <w:p>
            <w:pPr>
              <w:widowControl/>
              <w:spacing w:line="360" w:lineRule="exact"/>
              <w:jc w:val="center"/>
              <w:textAlignment w:val="center"/>
              <w:rPr>
                <w:rFonts w:ascii="LinTimes" w:hAnsi="LinTimes" w:eastAsia="黑体" w:cs="LinTimes"/>
                <w:color w:val="000000" w:themeColor="text1"/>
                <w:kern w:val="0"/>
                <w:sz w:val="28"/>
                <w:szCs w:val="28"/>
                <w:lang w:bidi="ar"/>
                <w14:textFill>
                  <w14:solidFill>
                    <w14:schemeClr w14:val="tx1"/>
                  </w14:solidFill>
                </w14:textFill>
              </w:rPr>
            </w:pPr>
            <w:r>
              <w:rPr>
                <w:rFonts w:hint="eastAsia" w:ascii="LinTimes" w:hAnsi="LinTimes" w:eastAsia="黑体" w:cs="LinTimes"/>
                <w:color w:val="000000" w:themeColor="text1"/>
                <w:kern w:val="0"/>
                <w:sz w:val="28"/>
                <w:szCs w:val="28"/>
                <w:lang w:bidi="ar"/>
                <w14:textFill>
                  <w14:solidFill>
                    <w14:schemeClr w14:val="tx1"/>
                  </w14:solidFill>
                </w14:textFill>
              </w:rPr>
              <w:t>适用范围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3" w:hRule="atLeast"/>
          <w:jc w:val="center"/>
        </w:trPr>
        <w:tc>
          <w:tcPr>
            <w:tcW w:w="2018"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工作时间</w:t>
            </w:r>
          </w:p>
        </w:tc>
        <w:tc>
          <w:tcPr>
            <w:tcW w:w="851"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周</w:t>
            </w:r>
          </w:p>
        </w:tc>
        <w:tc>
          <w:tcPr>
            <w:tcW w:w="3969"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担任主管护师期间，平均每年参加临床护理、护理管理、护理教学工作时间总计不少于40周</w:t>
            </w:r>
          </w:p>
        </w:tc>
        <w:tc>
          <w:tcPr>
            <w:tcW w:w="4252"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担任副主任护师期间，平均每年参加临床护理、护理管理、护理教学工作时间总计不少于35周</w:t>
            </w:r>
          </w:p>
        </w:tc>
        <w:tc>
          <w:tcPr>
            <w:tcW w:w="2084"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所有岗位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14" w:hRule="atLeast"/>
          <w:jc w:val="center"/>
        </w:trPr>
        <w:tc>
          <w:tcPr>
            <w:tcW w:w="2018"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责任护士和质控护士记录</w:t>
            </w:r>
          </w:p>
        </w:tc>
        <w:tc>
          <w:tcPr>
            <w:tcW w:w="851"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条</w:t>
            </w:r>
          </w:p>
        </w:tc>
        <w:tc>
          <w:tcPr>
            <w:tcW w:w="3969"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担任主管护师期间，病历首页责任护士和质控护士记录累计不少于480条（急诊、重症、手术室、血透、导管室等科室从相应记录单提取护士记录）</w:t>
            </w:r>
          </w:p>
        </w:tc>
        <w:tc>
          <w:tcPr>
            <w:tcW w:w="4252"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担任副主任护师期间，病历首页责任护士和质控护士记录累计不少于240条（急诊、重症、手术室、血透、</w:t>
            </w:r>
            <w:bookmarkStart w:id="0" w:name="_GoBack"/>
            <w:bookmarkEnd w:id="0"/>
            <w:r>
              <w:rPr>
                <w:rFonts w:hint="eastAsia" w:ascii="仿宋" w:hAnsi="仿宋" w:eastAsia="仿宋" w:cs="LinTimes"/>
                <w:color w:val="000000" w:themeColor="text1"/>
                <w:kern w:val="0"/>
                <w:sz w:val="24"/>
                <w:szCs w:val="24"/>
                <w:lang w:bidi="ar"/>
                <w14:textFill>
                  <w14:solidFill>
                    <w14:schemeClr w14:val="tx1"/>
                  </w14:solidFill>
                </w14:textFill>
              </w:rPr>
              <w:t>导管室等科室从相应记录单提取护士记录）</w:t>
            </w:r>
          </w:p>
        </w:tc>
        <w:tc>
          <w:tcPr>
            <w:tcW w:w="2084"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所有岗位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2018" w:type="dxa"/>
            <w:vMerge w:val="restart"/>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护理人数或参与临床工作量</w:t>
            </w:r>
          </w:p>
        </w:tc>
        <w:tc>
          <w:tcPr>
            <w:tcW w:w="851"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人次</w:t>
            </w:r>
          </w:p>
        </w:tc>
        <w:tc>
          <w:tcPr>
            <w:tcW w:w="3969"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护理患者人数不少于2400人次</w:t>
            </w:r>
          </w:p>
        </w:tc>
        <w:tc>
          <w:tcPr>
            <w:tcW w:w="4252"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护理患者人数不少于1200人次</w:t>
            </w:r>
          </w:p>
        </w:tc>
        <w:tc>
          <w:tcPr>
            <w:tcW w:w="2084"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有病房科室护士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Merge w:val="continue"/>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p>
        </w:tc>
        <w:tc>
          <w:tcPr>
            <w:tcW w:w="851"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人次</w:t>
            </w:r>
          </w:p>
        </w:tc>
        <w:tc>
          <w:tcPr>
            <w:tcW w:w="3969"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配合医师诊疗患者人数不少于2400人次</w:t>
            </w:r>
          </w:p>
        </w:tc>
        <w:tc>
          <w:tcPr>
            <w:tcW w:w="4252"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配合医师诊疗患者人数不少于1200人次</w:t>
            </w:r>
          </w:p>
        </w:tc>
        <w:tc>
          <w:tcPr>
            <w:tcW w:w="2084" w:type="dxa"/>
            <w:vAlign w:val="center"/>
          </w:tcPr>
          <w:p>
            <w:pPr>
              <w:widowControl/>
              <w:spacing w:line="360" w:lineRule="exact"/>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无病房科室护士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1" w:hRule="atLeast"/>
          <w:jc w:val="center"/>
        </w:trPr>
        <w:tc>
          <w:tcPr>
            <w:tcW w:w="2018" w:type="dxa"/>
            <w:vMerge w:val="continue"/>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台次</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配合手术次数不少于600台次（四级手术次数不少于60台次）</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配合手术次数不少于300台次（四级手术次数不少于30台次）</w:t>
            </w:r>
          </w:p>
        </w:tc>
        <w:tc>
          <w:tcPr>
            <w:tcW w:w="2084"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手术室护士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0"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专科护理操作</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例</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动静脉穿刺术及护理、各种引流管道的护理、血滤等不少于</w:t>
            </w:r>
            <w:r>
              <w:rPr>
                <w:rFonts w:hint="eastAsia" w:ascii="仿宋" w:hAnsi="仿宋" w:eastAsia="仿宋"/>
                <w:bCs/>
                <w:color w:val="000000" w:themeColor="text1"/>
                <w:sz w:val="24"/>
                <w:szCs w:val="24"/>
                <w14:textFill>
                  <w14:solidFill>
                    <w14:schemeClr w14:val="tx1"/>
                  </w14:solidFill>
                </w14:textFill>
              </w:rPr>
              <w:t>1000例</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动静脉穿刺术及护理、各种引流管道的护理、血滤等不少</w:t>
            </w:r>
            <w:r>
              <w:rPr>
                <w:rFonts w:hint="eastAsia" w:ascii="仿宋" w:hAnsi="仿宋" w:eastAsia="仿宋"/>
                <w:bCs/>
                <w:color w:val="000000" w:themeColor="text1"/>
                <w:sz w:val="24"/>
                <w:szCs w:val="24"/>
                <w14:textFill>
                  <w14:solidFill>
                    <w14:schemeClr w14:val="tx1"/>
                  </w14:solidFill>
                </w14:textFill>
              </w:rPr>
              <w:t>800例</w:t>
            </w:r>
          </w:p>
        </w:tc>
        <w:tc>
          <w:tcPr>
            <w:tcW w:w="2084" w:type="dxa"/>
            <w:vMerge w:val="restart"/>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所有岗位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7"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仪器使用</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例</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使用监护仪、呼吸机、血气机、血糖仪等不少于</w:t>
            </w:r>
            <w:r>
              <w:rPr>
                <w:rFonts w:hint="eastAsia" w:ascii="仿宋" w:hAnsi="仿宋" w:eastAsia="仿宋"/>
                <w:bCs/>
                <w:color w:val="000000" w:themeColor="text1"/>
                <w:sz w:val="24"/>
                <w:szCs w:val="24"/>
                <w14:textFill>
                  <w14:solidFill>
                    <w14:schemeClr w14:val="tx1"/>
                  </w14:solidFill>
                </w14:textFill>
              </w:rPr>
              <w:t>200例</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使用监护仪、呼吸机、血气机、血糖仪等不少于</w:t>
            </w:r>
            <w:r>
              <w:rPr>
                <w:rFonts w:hint="eastAsia" w:ascii="仿宋" w:hAnsi="仿宋" w:eastAsia="仿宋"/>
                <w:bCs/>
                <w:color w:val="000000" w:themeColor="text1"/>
                <w:sz w:val="24"/>
                <w:szCs w:val="24"/>
                <w14:textFill>
                  <w14:solidFill>
                    <w14:schemeClr w14:val="tx1"/>
                  </w14:solidFill>
                </w14:textFill>
              </w:rPr>
              <w:t>100例</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主持护理查房/病例讨论</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例</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不少于10例</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不少于15例</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8"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参与质量持续改进</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次</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参与医院护理部一、二、三级质控或质量改善项目等不少于</w:t>
            </w:r>
            <w:r>
              <w:rPr>
                <w:rFonts w:hint="eastAsia" w:ascii="仿宋" w:hAnsi="仿宋" w:eastAsia="仿宋"/>
                <w:bCs/>
                <w:color w:val="000000" w:themeColor="text1"/>
                <w:sz w:val="24"/>
                <w:szCs w:val="24"/>
                <w14:textFill>
                  <w14:solidFill>
                    <w14:schemeClr w14:val="tx1"/>
                  </w14:solidFill>
                </w14:textFill>
              </w:rPr>
              <w:t>50次</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参与医院护理部一、二、三级质控或质量改善项目等不少于</w:t>
            </w:r>
            <w:r>
              <w:rPr>
                <w:rFonts w:hint="eastAsia" w:ascii="仿宋" w:hAnsi="仿宋" w:eastAsia="仿宋"/>
                <w:bCs/>
                <w:color w:val="000000" w:themeColor="text1"/>
                <w:sz w:val="24"/>
                <w:szCs w:val="24"/>
                <w14:textFill>
                  <w14:solidFill>
                    <w14:schemeClr w14:val="tx1"/>
                  </w14:solidFill>
                </w14:textFill>
              </w:rPr>
              <w:t>60次</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指导下级护理人员人数</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人次</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不少于5人次</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不少于10人次</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2018"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护理授课次数</w:t>
            </w:r>
          </w:p>
        </w:tc>
        <w:tc>
          <w:tcPr>
            <w:tcW w:w="851" w:type="dxa"/>
            <w:vAlign w:val="center"/>
          </w:tcPr>
          <w:p>
            <w:pPr>
              <w:spacing w:line="360" w:lineRule="exact"/>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次</w:t>
            </w:r>
          </w:p>
        </w:tc>
        <w:tc>
          <w:tcPr>
            <w:tcW w:w="3969"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不少于10次</w:t>
            </w:r>
          </w:p>
        </w:tc>
        <w:tc>
          <w:tcPr>
            <w:tcW w:w="4252" w:type="dxa"/>
            <w:vAlign w:val="center"/>
          </w:tcPr>
          <w:p>
            <w:pPr>
              <w:spacing w:line="360" w:lineRule="exact"/>
              <w:jc w:val="center"/>
              <w:rPr>
                <w:rFonts w:ascii="仿宋" w:hAnsi="仿宋" w:eastAsia="仿宋"/>
                <w:bCs/>
                <w:color w:val="000000" w:themeColor="text1"/>
                <w:sz w:val="24"/>
                <w:szCs w:val="24"/>
                <w14:textFill>
                  <w14:solidFill>
                    <w14:schemeClr w14:val="tx1"/>
                  </w14:solidFill>
                </w14:textFill>
              </w:rPr>
            </w:pPr>
            <w:r>
              <w:rPr>
                <w:rFonts w:hint="eastAsia" w:ascii="仿宋" w:hAnsi="仿宋" w:eastAsia="仿宋"/>
                <w:bCs/>
                <w:color w:val="000000" w:themeColor="text1"/>
                <w:sz w:val="24"/>
                <w:szCs w:val="24"/>
                <w14:textFill>
                  <w14:solidFill>
                    <w14:schemeClr w14:val="tx1"/>
                  </w14:solidFill>
                </w14:textFill>
              </w:rPr>
              <w:t>不少于15次</w:t>
            </w:r>
          </w:p>
        </w:tc>
        <w:tc>
          <w:tcPr>
            <w:tcW w:w="2084" w:type="dxa"/>
            <w:vMerge w:val="continue"/>
            <w:vAlign w:val="center"/>
          </w:tcPr>
          <w:p>
            <w:pPr>
              <w:spacing w:line="360" w:lineRule="exact"/>
              <w:jc w:val="left"/>
              <w:rPr>
                <w:rFonts w:ascii="仿宋" w:hAnsi="仿宋" w:eastAsia="仿宋"/>
                <w:color w:val="000000" w:themeColor="text1"/>
                <w:sz w:val="24"/>
                <w:szCs w:val="24"/>
                <w14:textFill>
                  <w14:solidFill>
                    <w14:schemeClr w14:val="tx1"/>
                  </w14:solidFill>
                </w14:textFill>
              </w:rPr>
            </w:pPr>
          </w:p>
        </w:tc>
      </w:tr>
    </w:tbl>
    <w:p>
      <w:pPr>
        <w:pStyle w:val="5"/>
        <w:shd w:val="clear" w:color="auto" w:fill="FFFFFF"/>
        <w:spacing w:before="0" w:beforeAutospacing="0" w:after="0" w:afterAutospacing="0"/>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：工作量指标是中级晋升副高、副高晋升正高期间的完成工作量，均从聘任时间开始计算。</w:t>
      </w:r>
    </w:p>
    <w:p>
      <w:pPr>
        <w:widowControl/>
        <w:jc w:val="left"/>
        <w:rPr>
          <w:rFonts w:ascii="楷体" w:hAnsi="楷体" w:eastAsia="楷体"/>
          <w:color w:val="000000" w:themeColor="text1"/>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r>
        <w:rPr>
          <w:rFonts w:ascii="楷体" w:hAnsi="楷体" w:eastAsia="楷体"/>
          <w:color w:val="000000" w:themeColor="text1"/>
          <w14:textFill>
            <w14:solidFill>
              <w14:schemeClr w14:val="tx1"/>
            </w14:solidFill>
          </w14:textFill>
        </w:rPr>
        <w:br w:type="page"/>
      </w:r>
    </w:p>
    <w:p>
      <w:pPr>
        <w:pStyle w:val="5"/>
        <w:shd w:val="clear" w:color="auto" w:fill="FFFFFF"/>
        <w:spacing w:before="0" w:beforeAutospacing="0" w:after="0" w:afterAutospacing="0"/>
        <w:jc w:val="center"/>
        <w:rPr>
          <w:rFonts w:asciiTheme="majorEastAsia" w:hAnsiTheme="majorEastAsia" w:eastAsiaTheme="majorEastAsia"/>
          <w:color w:val="000000" w:themeColor="text1"/>
          <w:spacing w:val="-20"/>
          <w:sz w:val="44"/>
          <w:szCs w:val="44"/>
          <w14:textFill>
            <w14:solidFill>
              <w14:schemeClr w14:val="tx1"/>
            </w14:solidFill>
          </w14:textFill>
        </w:rPr>
      </w:pPr>
      <w:r>
        <w:rPr>
          <w:rFonts w:hint="eastAsia" w:asciiTheme="majorEastAsia" w:hAnsiTheme="majorEastAsia" w:eastAsiaTheme="majorEastAsia"/>
          <w:color w:val="000000" w:themeColor="text1"/>
          <w:spacing w:val="-20"/>
          <w:sz w:val="44"/>
          <w:szCs w:val="44"/>
          <w14:textFill>
            <w14:solidFill>
              <w14:schemeClr w14:val="tx1"/>
            </w14:solidFill>
          </w14:textFill>
        </w:rPr>
        <w:t>河南省</w:t>
      </w:r>
      <w:r>
        <w:rPr>
          <w:rFonts w:asciiTheme="majorEastAsia" w:hAnsiTheme="majorEastAsia" w:eastAsiaTheme="majorEastAsia"/>
          <w:color w:val="000000" w:themeColor="text1"/>
          <w:spacing w:val="-20"/>
          <w:sz w:val="44"/>
          <w:szCs w:val="44"/>
          <w14:textFill>
            <w14:solidFill>
              <w14:schemeClr w14:val="tx1"/>
            </w14:solidFill>
          </w14:textFill>
        </w:rPr>
        <w:t>卫生系列基层高级职称申报评审条件</w:t>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（药学类）</w:t>
      </w:r>
      <w:r>
        <w:rPr>
          <w:rFonts w:hint="eastAsia" w:asciiTheme="majorEastAsia" w:hAnsiTheme="majorEastAsia" w:eastAsiaTheme="majorEastAsia"/>
          <w:color w:val="000000" w:themeColor="text1"/>
          <w:sz w:val="44"/>
          <w:szCs w:val="44"/>
          <w:lang w:eastAsia="zh-CN"/>
          <w14:textFill>
            <w14:solidFill>
              <w14:schemeClr w14:val="tx1"/>
            </w14:solidFill>
          </w14:textFill>
        </w:rPr>
        <w:t>（征求意见稿）</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总则</w:t>
      </w: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为了客观、公正、科学地评价基层卫生专业技术人员的能力与水平，建立完善考评结合的人才评价机制，鼓励卫生专业技术人员服务基层，为强基层、保基本、建机制和建立分级诊疗制度提供人才支持，根据人力资源社会保障部、国家卫生健康委、国家中医药局《关于深化卫生专业技术人员职称制度改革的指导意见》（人社部发〔2021〕51 号）和我省职称改革有关政策规定，结合我省实际，制定本条件。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二、本条件适用于全省基层医疗卫生机构中从事药学类专业的卫生专业技术人员，含在编或签订正式聘用合同的人员，不含上级机构派出人员。基层医疗卫生机构包括：</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二、本条件适用于全省基层医疗卫生机构中从事医疗类专业的卫生专业技术人员，含在编或签订正式聘用合同的人员，不含上级机构派出人员。基层医疗卫生机构包括：</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（一）县（市、区）级医疗卫生机构，包括县级公立医院、专业公共卫生机构；</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（二）乡镇（街道）卫生院、社区服务中心（站）、村卫生室；</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（三）县（市、区）卫生健康行政部门审批的医疗卫生机构；</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（四）在县（市）域内登记的省辖市卫生健康行政部门审批的医疗卫生机构。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三、卫生系列药学类基层副高级职称的名称为基层副主任药师和乡镇社区副主任药师，基层正高级职称的名称为基层主任药师。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基层卫生专业技术人员可申报全省高级职称评审，也可申报基层高级职称评审；乡镇（街道）卫生院、社区服务中心（站）、村卫生室卫生专业技术人员可申报基层副高级职称评审，也可申报乡镇社区副高级职称评审。但同一晋升年度，不能同时申报。卫生系列基层高级职称仅限于在基层医疗卫生机构聘任，乡镇社区副高级职称仅限于在乡镇（街道）卫生院、社区服务中心（站）、村卫生室聘任。如需到适用范围以外的医疗卫生机构任职须重新申报并取得相应的高级职称，任职年限可累计计算。</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五、乡镇（街道）卫生院、社区服务中心（站）以及村卫生室人员申报乡镇社区副高级职称的，业务水平考试单独划分合格分数线。</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本条件为基层卫生专业技术人员申报和评审委员会评审时掌握的基本条件，评审委员会可依据本条件制定相应的实施办法。用人单位向评审委员会推荐人员的条件，由用人单位根据本条件和单位业务工作实际制定，但不得低于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七、本条件适用专业包括：药学、中药学、药检西药、药检中药。</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适用专业根据卫生健康行业发展和需要适时调整。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分则</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一、申报条件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（一）遵守国家宪法和法律，贯彻新时代卫生与健康工作方针，自觉践行“敬佑生命、救死扶伤、甘于奉献、大爱无疆”的职业精神，具备良好的政治素质、协作精神、敬业精神和医德医风。</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（二）身心健康，心理素质良好，能全面履行岗位职责。</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（三）任现职以来（近5年）年度考核均为合格以上。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（四）申报基层高级职称须在基层医疗卫生机构聘任满1年，申报乡镇社区副高级职称须在乡镇（街道）卫生院、社区服务中心（站）以及村卫生室聘任满5年。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（五）学历和任职年限分别符合以下要求。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1.申报基层副主任药师职称，需具备相应专业大学本科及以上学历或学士及以上学位，受聘担任主管药师职务满5年；或具备相应专业大专学历，受聘担任主管药师职务满7年。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2.申报基层主任药师职称，需具备相应专业大学本科及以上学历或学士及以上学位，受聘担任副主任药师职务满5年。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申报乡镇社区副主任药师职称，需具备相应专业大学本科以上学历或学士及以上学位，受聘担任主管药师职务满4年；或具备相应专业大专学历，受聘担任主管药师职务满6年；或具备相应专业中专学历，受聘担任主管药师职务满7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（六）完成健康科普工作要求。开展健康科普知识宣讲，每年不少于2次；或者在各级卫生健康部门和县级以上医疗机构等新媒体平台发表健康科普文章、音视频作品每年不少于2篇（条）。</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（七）任现职以来完成规定的工作量要求（详见附表1）。</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二、评审条件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（一）专业能力要求。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1.副主任药师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推广应用。熟悉本专业相关的法律、法规、标准与技术规范。有较丰富的基层卫生工作经验，能够参与制定药物治疗方案，对临床用药结果做出准确分析，能及时发现并处理处方和医嘱中出现的各种不合理用药现象，及时提出临床用药调整意见。具有指导下级药师的能力。其中，中药专业还应具备中药验收、保管、调剂、临方炮制、煎煮等中药药学服务能力，能够提供中药药物咨询服务，具有中药处方点评工作能力，提供合理使用中药建议。</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2.主任药师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药师水平的基础上，精通本专业某一领域的基本理论知识与技能，并有所专长。深入了解本专业国内外现状及发展趋势，不断吸取新理论、新知识、新技术并用于实践。有丰富的基层卫生工作经验，能独立解决复杂或重大技术问题，具有指导本专业下级药师的能力。其中，中药专业还应具备中药验收、保管、调剂、临方炮制、煎煮等中药药学服务能力，能够提供中药药物咨询服务，具有中药处方点评工作能力，提供合理使用中药建议。</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（二）工作业绩要求。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工作业绩实行成果代表作制度。申报基层副主任药师和基层主任药师提交任现职以来代表个人专业技术能力和水平的标志性工作业绩2项以上（第1项为必备）；申报乡镇社区副主任药师提交第1项。</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1.副主任药师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药品调剂服务、药品质量管理、药品合理使用、用药监测、医院制剂质量改进等环节复杂问题形成的新技术应用案例，成功实施的流程改造案例，合理用药分析报告、疑难病例讨论、会诊案例、个体化用药案例，用药监测、超常预警、不良反应、用药错误、药品损害时间监测报告等。须附相关原始资料。</w:t>
      </w:r>
    </w:p>
    <w:p>
      <w:pPr>
        <w:pStyle w:val="5"/>
        <w:shd w:val="clear" w:color="auto" w:fill="FFFFFF"/>
        <w:spacing w:before="0" w:beforeAutospacing="0" w:after="0" w:afterAutospacing="0"/>
        <w:ind w:firstLine="640" w:firstLineChars="200"/>
        <w:rPr>
          <w:rFonts w:ascii="仿宋" w:hAnsi="仿宋" w:eastAsia="仿宋" w:cs="仿宋_GB2312"/>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s="仿宋_GB2312"/>
          <w:color w:val="000000" w:themeColor="text1"/>
          <w:sz w:val="32"/>
          <w:szCs w:val="32"/>
          <w14:textFill>
            <w14:solidFill>
              <w14:schemeClr w14:val="tx1"/>
            </w14:solidFill>
          </w14:textFill>
        </w:rPr>
        <w:t>参与开展新技术新项目形成的基层推广使用报告，参与解决基层药品全流程规范管理、社区药学服务、居家药学服务等基层常见代表性技术问题形成的应用报告。</w:t>
      </w:r>
      <w:r>
        <w:rPr>
          <w:rFonts w:hint="eastAsia" w:ascii="仿宋" w:hAnsi="仿宋" w:eastAsia="仿宋"/>
          <w:color w:val="000000" w:themeColor="text1"/>
          <w:sz w:val="32"/>
          <w:szCs w:val="32"/>
          <w14:textFill>
            <w14:solidFill>
              <w14:schemeClr w14:val="tx1"/>
            </w14:solidFill>
          </w14:textFill>
        </w:rPr>
        <w:t>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（3）结合本专业临床实践，在推荐学术期刊上发表的本专业论文1篇（不少于2500字）。须附相关原始资料。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（4）主持或参与的课题研究报告、获得的科技奖励等。</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s="仿宋_GB2312"/>
          <w:color w:val="000000" w:themeColor="text1"/>
          <w:sz w:val="32"/>
          <w:szCs w:val="32"/>
          <w14:textFill>
            <w14:solidFill>
              <w14:schemeClr w14:val="tx1"/>
            </w14:solidFill>
          </w14:textFill>
        </w:rPr>
        <w:t>（5）</w:t>
      </w:r>
      <w:r>
        <w:rPr>
          <w:rFonts w:hint="eastAsia" w:ascii="仿宋" w:hAnsi="仿宋" w:eastAsia="仿宋"/>
          <w:color w:val="000000" w:themeColor="text1"/>
          <w:sz w:val="32"/>
          <w:szCs w:val="32"/>
          <w14:textFill>
            <w14:solidFill>
              <w14:schemeClr w14:val="tx1"/>
            </w14:solidFill>
          </w14:textFill>
        </w:rPr>
        <w:t>吸取新理论、新知识、新技术形成的与本专业相关的发明专利1项（限第1原始发明人）,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6</w:t>
      </w:r>
      <w:r>
        <w:rPr>
          <w:rFonts w:hint="eastAsia" w:ascii="仿宋" w:hAnsi="仿宋" w:eastAsia="仿宋"/>
          <w:color w:val="000000" w:themeColor="text1"/>
          <w:sz w:val="32"/>
          <w:szCs w:val="32"/>
          <w:lang w:eastAsia="zh-CN"/>
          <w14:textFill>
            <w14:solidFill>
              <w14:schemeClr w14:val="tx1"/>
            </w14:solidFill>
          </w14:textFill>
        </w:rPr>
        <w:t>）入选省级及以上行业主管部门组织实施的中医药人才传承培养项目，并通过结业考核。</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2.主任药师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熟练解决药品调剂、药品管理、药品合理使用、用药监测、医院制剂质量改进等环节复杂问题形成的高质量提升药事质控指标案例，新技术应用案例，成功实施的流程改造案例，个体化用药案例、疑难病例讨论、合理用药分析报告、会诊案例，用药检测、超常预警、不良反应、用药错误、药品损害事件监测报告；推进药事管理、信息化管理等形成的报告；主持制定的医疗机构药事管理制度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w:t>
      </w:r>
      <w:r>
        <w:rPr>
          <w:rFonts w:hint="eastAsia" w:ascii="仿宋" w:hAnsi="仿宋" w:eastAsia="仿宋" w:cs="仿宋_GB2312"/>
          <w:color w:val="000000" w:themeColor="text1"/>
          <w:sz w:val="32"/>
          <w:szCs w:val="32"/>
          <w14:textFill>
            <w14:solidFill>
              <w14:schemeClr w14:val="tx1"/>
            </w14:solidFill>
          </w14:textFill>
        </w:rPr>
        <w:t>牵头开展新技术新项目形成的基层推广使用报告，牵头解决药品全流程规范管理、社区药学服务、居家药学服务等基层常见关键性技术问题形成的应用报告。</w:t>
      </w:r>
      <w:r>
        <w:rPr>
          <w:rFonts w:hint="eastAsia" w:ascii="仿宋" w:hAnsi="仿宋" w:eastAsia="仿宋"/>
          <w:color w:val="000000" w:themeColor="text1"/>
          <w:sz w:val="32"/>
          <w:szCs w:val="32"/>
          <w14:textFill>
            <w14:solidFill>
              <w14:schemeClr w14:val="tx1"/>
            </w14:solidFill>
          </w14:textFill>
        </w:rPr>
        <w:t>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（3）结合本专业临床实践，在推荐学术期刊上发表的本专业论文2篇（每篇不少于2500字）。须附相关原始资料。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（4）主持的课题研究报告、获得的科技奖励等（限第1名）。</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（5）吸取新理论、新知识、新技术形成的与本专业相关的发明专利</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（6）参与研究并形成的技术规范、卫生标准、临床指南或专家共识1项。</w:t>
      </w:r>
    </w:p>
    <w:p>
      <w:pPr>
        <w:pStyle w:val="5"/>
        <w:shd w:val="clear" w:color="auto" w:fill="FFFFFF"/>
        <w:spacing w:before="0" w:beforeAutospacing="0" w:after="0" w:afterAutospacing="0"/>
        <w:ind w:firstLine="640" w:firstLineChars="200"/>
        <w:rPr>
          <w:rFonts w:hint="eastAsia" w:ascii="仿宋" w:hAnsi="仿宋" w:eastAsia="仿宋"/>
          <w:color w:val="000000" w:themeColor="text1"/>
          <w:sz w:val="32"/>
          <w:szCs w:val="32"/>
          <w:lang w:eastAsia="zh-CN"/>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lang w:eastAsia="zh-CN"/>
          <w14:textFill>
            <w14:solidFill>
              <w14:schemeClr w14:val="tx1"/>
            </w14:solidFill>
          </w14:textFill>
        </w:rPr>
        <w:t>）入选省级及以上行业主管部门组织实施的中医药人才传承培养项目，并通过结业考核。</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三、申报材料要求</w:t>
      </w:r>
      <w:r>
        <w:rPr>
          <w:rFonts w:ascii="黑体" w:hAnsi="黑体" w:eastAsia="黑体"/>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药学专业技术人员在任期内须每年向单位提交本人在实际工作中解决本专业复杂疑难问题或运用新知识、新技术、新成果开展业务工作的专题报告5份（每份2000字以上），并附原始临床资料，由单位随机抽取5份参加评审（近5年每年抽取1份）。</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附则</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一、本条件所称“以上”“以下”均含本级或本数量。</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二、本条件所称“学历”指国家教育行政部门承认的医学相关专业学历，申报专业应与学历专业一致。取得国（境）外相应学历学位的人员，需提供国家教育部国（境）外学历学位认证书。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三、本条件规定的申报条件和评审条件应同时具备，病案、专题报告、论文、技术专利、科研成果等业绩均应为聘任现职称以来取得，全日制脱产学习期间取得的业绩不可参评。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所提及的论文均限独著或第一作者，不含通讯作者，出现并列第一作者的文章仅供排名第一者使用。论文发表的刊物不含增刊、特刊、专刊、论文汇集等，综述、个案报道、通讯报道、科普性文章等不作为评审论文对待。SCI论文影响因子小于2.0的视为一篇三类期刊论文，2.0以上小于3.0的视为一篇二类期刊论文，3.0以上的视为一篇一类期刊论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五、跨系列（非卫生系列转评卫生系列）或跨类别（医、药、护、技）转评的，聘任现卫生职称年限仍须符合本条件要求。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六、期刊目录的制定与分类由高评会征求各专业专家意见确定并适时进行动态调整。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七、本条件由河南省人力资源和社会保障厅、河南省卫生健康委员会负责解释。未涉及的事项，按国家和省有关文件规定执行。</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八、本条件自  年  月  日起施行。</w:t>
      </w:r>
    </w:p>
    <w:p>
      <w:pPr>
        <w:widowControl/>
        <w:jc w:val="left"/>
        <w:rPr>
          <w:rFonts w:ascii="楷体" w:hAnsi="楷体" w:eastAsia="楷体"/>
          <w:color w:val="000000" w:themeColor="text1"/>
          <w14:textFill>
            <w14:solidFill>
              <w14:schemeClr w14:val="tx1"/>
            </w14:solidFill>
          </w14:textFill>
        </w:rPr>
        <w:sectPr>
          <w:pgSz w:w="11906" w:h="16838"/>
          <w:pgMar w:top="1440" w:right="1797" w:bottom="1440" w:left="1797" w:header="851" w:footer="992" w:gutter="0"/>
          <w:cols w:space="425" w:num="1"/>
          <w:docGrid w:type="lines" w:linePitch="312" w:charSpace="0"/>
        </w:sectPr>
      </w:pPr>
      <w:r>
        <w:rPr>
          <w:rFonts w:ascii="仿宋" w:hAnsi="仿宋" w:eastAsia="仿宋"/>
          <w:color w:val="000000" w:themeColor="text1"/>
          <w:sz w:val="32"/>
          <w:szCs w:val="32"/>
          <w14:textFill>
            <w14:solidFill>
              <w14:schemeClr w14:val="tx1"/>
            </w14:solidFill>
          </w14:textFill>
        </w:rPr>
        <w:br w:type="page"/>
      </w:r>
    </w:p>
    <w:p>
      <w:pPr>
        <w:spacing w:after="120" w:afterLines="5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r>
        <w:rPr>
          <w:rFonts w:hint="eastAsia" w:ascii="黑体" w:hAnsi="黑体" w:eastAsia="黑体"/>
          <w:color w:val="000000" w:themeColor="text1"/>
          <w:sz w:val="32"/>
          <w:szCs w:val="32"/>
          <w14:textFill>
            <w14:solidFill>
              <w14:schemeClr w14:val="tx1"/>
            </w14:solidFill>
          </w14:textFill>
        </w:rPr>
        <w:t>1</w:t>
      </w:r>
    </w:p>
    <w:p>
      <w:pPr>
        <w:tabs>
          <w:tab w:val="left" w:pos="795"/>
        </w:tabs>
        <w:spacing w:before="12" w:after="120" w:afterLines="50"/>
        <w:jc w:val="center"/>
        <w:rPr>
          <w:rFonts w:asciiTheme="minorEastAsia" w:hAnsiTheme="minorEastAsia"/>
          <w:color w:val="000000" w:themeColor="text1"/>
          <w:sz w:val="44"/>
          <w:szCs w:val="44"/>
          <w14:textFill>
            <w14:solidFill>
              <w14:schemeClr w14:val="tx1"/>
            </w14:solidFill>
          </w14:textFill>
        </w:rPr>
      </w:pPr>
      <w:r>
        <w:rPr>
          <w:rFonts w:cs="LinTimes" w:asciiTheme="minorEastAsia" w:hAnsiTheme="minorEastAsia"/>
          <w:color w:val="000000" w:themeColor="text1"/>
          <w:kern w:val="0"/>
          <w:sz w:val="44"/>
          <w:szCs w:val="44"/>
          <w:lang w:bidi="ar"/>
          <w14:textFill>
            <w14:solidFill>
              <w14:schemeClr w14:val="tx1"/>
            </w14:solidFill>
          </w14:textFill>
        </w:rPr>
        <w:t>药学专业晋升高级职称工作量要求</w:t>
      </w:r>
    </w:p>
    <w:tbl>
      <w:tblPr>
        <w:tblStyle w:val="8"/>
        <w:tblW w:w="13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993"/>
        <w:gridCol w:w="4997"/>
        <w:gridCol w:w="5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809"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评价项目</w:t>
            </w:r>
          </w:p>
        </w:tc>
        <w:tc>
          <w:tcPr>
            <w:tcW w:w="993"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单位</w:t>
            </w:r>
          </w:p>
        </w:tc>
        <w:tc>
          <w:tcPr>
            <w:tcW w:w="4997"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晋升副主任药师</w:t>
            </w:r>
          </w:p>
        </w:tc>
        <w:tc>
          <w:tcPr>
            <w:tcW w:w="5561"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晋升主任药师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tabs>
                <w:tab w:val="left" w:pos="4180"/>
              </w:tabs>
              <w:spacing w:before="198"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专业工作时间</w:t>
            </w:r>
          </w:p>
        </w:tc>
        <w:tc>
          <w:tcPr>
            <w:tcW w:w="993"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周</w:t>
            </w:r>
          </w:p>
        </w:tc>
        <w:tc>
          <w:tcPr>
            <w:tcW w:w="4997" w:type="dxa"/>
            <w:vAlign w:val="center"/>
          </w:tcPr>
          <w:p>
            <w:pPr>
              <w:pStyle w:val="13"/>
              <w:tabs>
                <w:tab w:val="left" w:pos="4180"/>
              </w:tabs>
              <w:spacing w:before="198" w:line="252"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担任主管药师职务期间</w:t>
            </w:r>
            <w:r>
              <w:rPr>
                <w:rFonts w:hint="eastAsia"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平均每年参加药学专业工作时间不少于</w:t>
            </w:r>
            <w:r>
              <w:rPr>
                <w:rFonts w:hint="eastAsia" w:ascii="仿宋" w:hAnsi="仿宋" w:eastAsia="仿宋"/>
                <w:color w:val="000000" w:themeColor="text1"/>
                <w:sz w:val="24"/>
                <w:szCs w:val="24"/>
                <w14:textFill>
                  <w14:solidFill>
                    <w14:schemeClr w14:val="tx1"/>
                  </w14:solidFill>
                </w14:textFill>
              </w:rPr>
              <w:t>40周</w:t>
            </w:r>
          </w:p>
        </w:tc>
        <w:tc>
          <w:tcPr>
            <w:tcW w:w="5561" w:type="dxa"/>
            <w:vAlign w:val="center"/>
          </w:tcPr>
          <w:p>
            <w:pPr>
              <w:pStyle w:val="13"/>
              <w:tabs>
                <w:tab w:val="left" w:pos="4180"/>
              </w:tabs>
              <w:spacing w:before="198" w:line="252"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担任副主任药师职务期间</w:t>
            </w:r>
            <w:r>
              <w:rPr>
                <w:rFonts w:hint="eastAsia" w:ascii="仿宋" w:hAnsi="仿宋" w:eastAsia="仿宋"/>
                <w:color w:val="000000" w:themeColor="text1"/>
                <w:sz w:val="24"/>
                <w:szCs w:val="24"/>
                <w14:textFill>
                  <w14:solidFill>
                    <w14:schemeClr w14:val="tx1"/>
                  </w14:solidFill>
                </w14:textFill>
              </w:rPr>
              <w:t>，平均每年参加药学专业工作时间不少于35周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 w:hRule="atLeast"/>
        </w:trPr>
        <w:tc>
          <w:tcPr>
            <w:tcW w:w="1809" w:type="dxa"/>
            <w:vAlign w:val="center"/>
          </w:tcPr>
          <w:p>
            <w:pPr>
              <w:pStyle w:val="13"/>
              <w:tabs>
                <w:tab w:val="left" w:pos="4180"/>
              </w:tabs>
              <w:spacing w:before="135" w:line="249" w:lineRule="auto"/>
              <w:ind w:right="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调配处方</w:t>
            </w:r>
            <w:r>
              <w:rPr>
                <w:rFonts w:ascii="仿宋" w:hAnsi="仿宋" w:eastAsia="仿宋" w:cs="Times New Roman"/>
                <w:color w:val="000000" w:themeColor="text1"/>
                <w:sz w:val="24"/>
                <w:szCs w:val="24"/>
                <w14:textFill>
                  <w14:solidFill>
                    <w14:schemeClr w14:val="tx1"/>
                  </w14:solidFill>
                </w14:textFill>
              </w:rPr>
              <w:t>/</w:t>
            </w:r>
            <w:r>
              <w:rPr>
                <w:rFonts w:hint="eastAsia" w:ascii="仿宋" w:hAnsi="仿宋" w:eastAsia="仿宋"/>
                <w:color w:val="000000" w:themeColor="text1"/>
                <w:sz w:val="24"/>
                <w:szCs w:val="24"/>
                <w14:textFill>
                  <w14:solidFill>
                    <w14:schemeClr w14:val="tx1"/>
                  </w14:solidFill>
                </w14:textFill>
              </w:rPr>
              <w:t>医嘱数量</w:t>
            </w:r>
          </w:p>
        </w:tc>
        <w:tc>
          <w:tcPr>
            <w:tcW w:w="993"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张/条</w:t>
            </w:r>
          </w:p>
        </w:tc>
        <w:tc>
          <w:tcPr>
            <w:tcW w:w="4997" w:type="dxa"/>
            <w:vAlign w:val="center"/>
          </w:tcPr>
          <w:p>
            <w:pPr>
              <w:pStyle w:val="13"/>
              <w:tabs>
                <w:tab w:val="left" w:pos="4180"/>
              </w:tabs>
              <w:spacing w:before="135"/>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晋升周期内调配处方（包括审方、调配、复核/发药环节）数量不少于10万张或住院医嘱不少于20万条</w:t>
            </w:r>
          </w:p>
        </w:tc>
        <w:tc>
          <w:tcPr>
            <w:tcW w:w="5561" w:type="dxa"/>
            <w:vAlign w:val="center"/>
          </w:tcPr>
          <w:p>
            <w:pPr>
              <w:pStyle w:val="13"/>
              <w:tabs>
                <w:tab w:val="left" w:pos="4180"/>
              </w:tabs>
              <w:spacing w:before="135"/>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晋升周期内调配处方（包括审方、调配、复核/发药环节）数量不少于8万张或住院医嘱不少于15万条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tabs>
                <w:tab w:val="left" w:pos="4180"/>
              </w:tabs>
              <w:spacing w:before="1" w:line="252" w:lineRule="auto"/>
              <w:ind w:right="10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处方/医嘱点评数量</w:t>
            </w:r>
          </w:p>
        </w:tc>
        <w:tc>
          <w:tcPr>
            <w:tcW w:w="993" w:type="dxa"/>
            <w:vAlign w:val="center"/>
          </w:tcPr>
          <w:p>
            <w:pPr>
              <w:pStyle w:val="13"/>
              <w:tabs>
                <w:tab w:val="left" w:pos="4180"/>
              </w:tabs>
              <w:spacing w:before="1"/>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张/份</w:t>
            </w:r>
          </w:p>
        </w:tc>
        <w:tc>
          <w:tcPr>
            <w:tcW w:w="4997" w:type="dxa"/>
            <w:vAlign w:val="center"/>
          </w:tcPr>
          <w:p>
            <w:pPr>
              <w:pStyle w:val="13"/>
              <w:tabs>
                <w:tab w:val="left" w:pos="4180"/>
              </w:tabs>
              <w:spacing w:before="1"/>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晋升周期内点评不少于1万张门急诊处方；或晋升周期内点评不少于1500份住院医嘱</w:t>
            </w:r>
          </w:p>
        </w:tc>
        <w:tc>
          <w:tcPr>
            <w:tcW w:w="5561" w:type="dxa"/>
            <w:vAlign w:val="center"/>
          </w:tcPr>
          <w:p>
            <w:pPr>
              <w:pStyle w:val="13"/>
              <w:tabs>
                <w:tab w:val="left" w:pos="4180"/>
              </w:tabs>
              <w:spacing w:before="1"/>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晋升周期内点评不少于1万张门诊处方；或晋升周期内点评不少于1500份住院医嘱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809" w:type="dxa"/>
            <w:vAlign w:val="center"/>
          </w:tcPr>
          <w:p>
            <w:pPr>
              <w:pStyle w:val="13"/>
              <w:tabs>
                <w:tab w:val="left" w:pos="4180"/>
              </w:tabs>
              <w:spacing w:before="170" w:line="249" w:lineRule="auto"/>
              <w:ind w:right="10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药学门诊数量</w:t>
            </w:r>
          </w:p>
        </w:tc>
        <w:tc>
          <w:tcPr>
            <w:tcW w:w="993" w:type="dxa"/>
            <w:vAlign w:val="center"/>
          </w:tcPr>
          <w:p>
            <w:pPr>
              <w:pStyle w:val="13"/>
              <w:tabs>
                <w:tab w:val="left" w:pos="4180"/>
              </w:tabs>
              <w:spacing w:before="9" w:line="249" w:lineRule="auto"/>
              <w:ind w:right="13"/>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单元</w:t>
            </w:r>
          </w:p>
        </w:tc>
        <w:tc>
          <w:tcPr>
            <w:tcW w:w="4997" w:type="dxa"/>
            <w:vAlign w:val="center"/>
          </w:tcPr>
          <w:p>
            <w:pPr>
              <w:pStyle w:val="13"/>
              <w:tabs>
                <w:tab w:val="left" w:pos="4180"/>
              </w:tabs>
              <w:spacing w:before="9" w:line="249" w:lineRule="auto"/>
              <w:ind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晋升周期内药学门诊不少于200个单元</w:t>
            </w:r>
          </w:p>
        </w:tc>
        <w:tc>
          <w:tcPr>
            <w:tcW w:w="5561" w:type="dxa"/>
            <w:vAlign w:val="center"/>
          </w:tcPr>
          <w:p>
            <w:pPr>
              <w:pStyle w:val="13"/>
              <w:tabs>
                <w:tab w:val="left" w:pos="373"/>
                <w:tab w:val="left" w:pos="4180"/>
              </w:tabs>
              <w:spacing w:before="14"/>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晋升周期内药学门诊不少于200个单元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tabs>
                <w:tab w:val="left" w:pos="4180"/>
              </w:tabs>
              <w:spacing w:before="170" w:line="249" w:lineRule="auto"/>
              <w:ind w:right="10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药物重整数量及药学监护数量</w:t>
            </w:r>
          </w:p>
        </w:tc>
        <w:tc>
          <w:tcPr>
            <w:tcW w:w="993"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例</w:t>
            </w:r>
          </w:p>
        </w:tc>
        <w:tc>
          <w:tcPr>
            <w:tcW w:w="4997"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晋升周期内实施药物重整的人次数不少于200例，并实施药学监护的人次数不少于150例</w:t>
            </w:r>
          </w:p>
        </w:tc>
        <w:tc>
          <w:tcPr>
            <w:tcW w:w="5561"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晋升周期内实施药物重整的人次数不少于200例，并实施药学监护的人次数不少于150例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tabs>
                <w:tab w:val="left" w:pos="4180"/>
              </w:tabs>
              <w:spacing w:before="170" w:line="249" w:lineRule="auto"/>
              <w:ind w:right="107"/>
              <w:jc w:val="center"/>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静脉药物配置数量</w:t>
            </w:r>
          </w:p>
        </w:tc>
        <w:tc>
          <w:tcPr>
            <w:tcW w:w="993" w:type="dxa"/>
            <w:vAlign w:val="center"/>
          </w:tcPr>
          <w:p>
            <w:pPr>
              <w:pStyle w:val="13"/>
              <w:spacing w:before="16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袋</w:t>
            </w:r>
          </w:p>
        </w:tc>
        <w:tc>
          <w:tcPr>
            <w:tcW w:w="4997" w:type="dxa"/>
            <w:vAlign w:val="center"/>
          </w:tcPr>
          <w:p>
            <w:pPr>
              <w:pStyle w:val="1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晋升周期内参与（包括审方、摆药、调配、复核环节）静脉药物配置数量不少于10万袋</w:t>
            </w:r>
          </w:p>
        </w:tc>
        <w:tc>
          <w:tcPr>
            <w:tcW w:w="5561" w:type="dxa"/>
            <w:vAlign w:val="center"/>
          </w:tcPr>
          <w:p>
            <w:pPr>
              <w:pStyle w:val="1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晋升周期内参与（包括审方、摆药、调配、复核环节）静脉药物配置数量不少于8万袋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55" w:line="249" w:lineRule="auto"/>
              <w:ind w:right="22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院制剂数量</w:t>
            </w:r>
          </w:p>
        </w:tc>
        <w:tc>
          <w:tcPr>
            <w:tcW w:w="993"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批次/支、盒、包、袋</w:t>
            </w:r>
          </w:p>
        </w:tc>
        <w:tc>
          <w:tcPr>
            <w:tcW w:w="4997" w:type="dxa"/>
            <w:vAlign w:val="center"/>
          </w:tcPr>
          <w:p>
            <w:pPr>
              <w:pStyle w:val="13"/>
              <w:spacing w:before="155"/>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晋升周期内参与医院制剂生产、质控、检验（环节之一）不少于120批次，或不少于5万瓶（支、盒、包、袋）</w:t>
            </w:r>
          </w:p>
        </w:tc>
        <w:tc>
          <w:tcPr>
            <w:tcW w:w="5561" w:type="dxa"/>
            <w:vAlign w:val="center"/>
          </w:tcPr>
          <w:p>
            <w:pPr>
              <w:pStyle w:val="13"/>
              <w:spacing w:before="155"/>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晋升周期内参与医院制剂生产、质控、检验（环节之一）不少于100批次，或不少于4万瓶（支、盒、包、袋）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line="249" w:lineRule="auto"/>
              <w:ind w:right="10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用药监测</w:t>
            </w:r>
          </w:p>
          <w:p>
            <w:pPr>
              <w:pStyle w:val="13"/>
              <w:spacing w:line="249" w:lineRule="auto"/>
              <w:ind w:right="10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（药品不良反应监测/用药错误/ 药品损害事件监</w:t>
            </w:r>
          </w:p>
          <w:p>
            <w:pPr>
              <w:pStyle w:val="13"/>
              <w:spacing w:line="249" w:lineRule="auto"/>
              <w:ind w:right="10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测）</w:t>
            </w:r>
          </w:p>
        </w:tc>
        <w:tc>
          <w:tcPr>
            <w:tcW w:w="993"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例</w:t>
            </w:r>
          </w:p>
        </w:tc>
        <w:tc>
          <w:tcPr>
            <w:tcW w:w="4997" w:type="dxa"/>
            <w:vAlign w:val="center"/>
          </w:tcPr>
          <w:p>
            <w:pPr>
              <w:pStyle w:val="1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晋升周期内向国家药品不良反应监测中心上报药品不良反应不少于30例;或晋升周期内向医疗机构或上级相关部门上报用药错误/药品损害事件不少于30例；或向医疗机构或上级相关部门报告药品质量事件30例</w:t>
            </w:r>
          </w:p>
        </w:tc>
        <w:tc>
          <w:tcPr>
            <w:tcW w:w="5561" w:type="dxa"/>
            <w:vAlign w:val="center"/>
          </w:tcPr>
          <w:p>
            <w:pPr>
              <w:pStyle w:val="12"/>
              <w:jc w:val="both"/>
              <w:rPr>
                <w:rFonts w:ascii="仿宋" w:hAnsi="仿宋" w:eastAsia="仿宋"/>
                <w:color w:val="000000" w:themeColor="text1"/>
                <w:lang w:bidi="zh-CN"/>
                <w14:textFill>
                  <w14:solidFill>
                    <w14:schemeClr w14:val="tx1"/>
                  </w14:solidFill>
                </w14:textFill>
              </w:rPr>
            </w:pPr>
            <w:r>
              <w:rPr>
                <w:rFonts w:hint="eastAsia" w:ascii="仿宋" w:hAnsi="仿宋" w:eastAsia="仿宋"/>
                <w:color w:val="000000" w:themeColor="text1"/>
                <w:lang w:bidi="zh-CN"/>
                <w14:textFill>
                  <w14:solidFill>
                    <w14:schemeClr w14:val="tx1"/>
                  </w14:solidFill>
                </w14:textFill>
              </w:rPr>
              <w:t>晋升周期内向国家药品不良反应监测中心上报药品不良反应不少于</w:t>
            </w:r>
            <w:r>
              <w:rPr>
                <w:rFonts w:ascii="仿宋" w:hAnsi="仿宋" w:eastAsia="仿宋"/>
                <w:color w:val="000000" w:themeColor="text1"/>
                <w:lang w:bidi="zh-CN"/>
                <w14:textFill>
                  <w14:solidFill>
                    <w14:schemeClr w14:val="tx1"/>
                  </w14:solidFill>
                </w14:textFill>
              </w:rPr>
              <w:t>25</w:t>
            </w:r>
            <w:r>
              <w:rPr>
                <w:rFonts w:hint="eastAsia" w:ascii="仿宋" w:hAnsi="仿宋" w:eastAsia="仿宋"/>
                <w:color w:val="000000" w:themeColor="text1"/>
                <w:lang w:bidi="zh-CN"/>
                <w14:textFill>
                  <w14:solidFill>
                    <w14:schemeClr w14:val="tx1"/>
                  </w14:solidFill>
                </w14:textFill>
              </w:rPr>
              <w:t>例</w:t>
            </w:r>
            <w:r>
              <w:rPr>
                <w:rFonts w:ascii="仿宋" w:hAnsi="仿宋" w:eastAsia="仿宋"/>
                <w:color w:val="000000" w:themeColor="text1"/>
                <w:lang w:bidi="zh-CN"/>
                <w14:textFill>
                  <w14:solidFill>
                    <w14:schemeClr w14:val="tx1"/>
                  </w14:solidFill>
                </w14:textFill>
              </w:rPr>
              <w:t>;</w:t>
            </w:r>
            <w:r>
              <w:rPr>
                <w:rFonts w:hint="eastAsia" w:ascii="仿宋" w:hAnsi="仿宋" w:eastAsia="仿宋"/>
                <w:color w:val="000000" w:themeColor="text1"/>
                <w:lang w:bidi="zh-CN"/>
                <w14:textFill>
                  <w14:solidFill>
                    <w14:schemeClr w14:val="tx1"/>
                  </w14:solidFill>
                </w14:textFill>
              </w:rPr>
              <w:t>或晋升周期内向医疗机构或上级相关部门上报用药错误</w:t>
            </w:r>
            <w:r>
              <w:rPr>
                <w:rFonts w:ascii="仿宋" w:hAnsi="仿宋" w:eastAsia="仿宋"/>
                <w:color w:val="000000" w:themeColor="text1"/>
                <w:lang w:bidi="zh-CN"/>
                <w14:textFill>
                  <w14:solidFill>
                    <w14:schemeClr w14:val="tx1"/>
                  </w14:solidFill>
                </w14:textFill>
              </w:rPr>
              <w:t xml:space="preserve">/ </w:t>
            </w:r>
            <w:r>
              <w:rPr>
                <w:rFonts w:hint="eastAsia" w:ascii="仿宋" w:hAnsi="仿宋" w:eastAsia="仿宋"/>
                <w:color w:val="000000" w:themeColor="text1"/>
                <w:lang w:bidi="zh-CN"/>
                <w14:textFill>
                  <w14:solidFill>
                    <w14:schemeClr w14:val="tx1"/>
                  </w14:solidFill>
                </w14:textFill>
              </w:rPr>
              <w:t>药品损害事件不少于</w:t>
            </w:r>
            <w:r>
              <w:rPr>
                <w:rFonts w:ascii="仿宋" w:hAnsi="仿宋" w:eastAsia="仿宋"/>
                <w:color w:val="000000" w:themeColor="text1"/>
                <w:lang w:bidi="zh-CN"/>
                <w14:textFill>
                  <w14:solidFill>
                    <w14:schemeClr w14:val="tx1"/>
                  </w14:solidFill>
                </w14:textFill>
              </w:rPr>
              <w:t>25</w:t>
            </w:r>
            <w:r>
              <w:rPr>
                <w:rFonts w:hint="eastAsia" w:ascii="仿宋" w:hAnsi="仿宋" w:eastAsia="仿宋"/>
                <w:color w:val="000000" w:themeColor="text1"/>
                <w:lang w:bidi="zh-CN"/>
                <w14:textFill>
                  <w14:solidFill>
                    <w14:schemeClr w14:val="tx1"/>
                  </w14:solidFill>
                </w14:textFill>
              </w:rPr>
              <w:t>例；或向医疗机构或上级相关部门报告药品质量事件</w:t>
            </w:r>
            <w:r>
              <w:rPr>
                <w:rFonts w:ascii="仿宋" w:hAnsi="仿宋" w:eastAsia="仿宋"/>
                <w:color w:val="000000" w:themeColor="text1"/>
                <w:lang w:bidi="zh-CN"/>
                <w14:textFill>
                  <w14:solidFill>
                    <w14:schemeClr w14:val="tx1"/>
                  </w14:solidFill>
                </w14:textFill>
              </w:rPr>
              <w:t>25</w:t>
            </w:r>
            <w:r>
              <w:rPr>
                <w:rFonts w:hint="eastAsia" w:ascii="仿宋" w:hAnsi="仿宋" w:eastAsia="仿宋"/>
                <w:color w:val="000000" w:themeColor="text1"/>
                <w:lang w:bidi="zh-CN"/>
                <w14:textFill>
                  <w14:solidFill>
                    <w14:schemeClr w14:val="tx1"/>
                  </w14:solidFill>
                </w14:textFill>
              </w:rPr>
              <w:t>例</w:t>
            </w:r>
            <w:r>
              <w:rPr>
                <w:rFonts w:ascii="仿宋" w:hAnsi="仿宋" w:eastAsia="仿宋"/>
                <w:color w:val="000000" w:themeColor="text1"/>
                <w:lang w:bidi="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 w:line="249" w:lineRule="auto"/>
              <w:ind w:right="10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精准用药检测数量</w:t>
            </w:r>
          </w:p>
        </w:tc>
        <w:tc>
          <w:tcPr>
            <w:tcW w:w="993"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例</w:t>
            </w:r>
          </w:p>
        </w:tc>
        <w:tc>
          <w:tcPr>
            <w:tcW w:w="4997" w:type="dxa"/>
            <w:vAlign w:val="center"/>
          </w:tcPr>
          <w:p>
            <w:pPr>
              <w:pStyle w:val="13"/>
              <w:spacing w:before="87" w:line="249" w:lineRule="auto"/>
              <w:ind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晋升周期内完成TDM或基因检测（签发报告）不少于1000例</w:t>
            </w:r>
          </w:p>
        </w:tc>
        <w:tc>
          <w:tcPr>
            <w:tcW w:w="5561" w:type="dxa"/>
            <w:vAlign w:val="center"/>
          </w:tcPr>
          <w:p>
            <w:pPr>
              <w:pStyle w:val="13"/>
              <w:spacing w:before="87"/>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晋升周期内完成TDM或基因检测（签发报告）不少于1000例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
              <w:jc w:val="center"/>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精准用药方案制定数量</w:t>
            </w:r>
          </w:p>
        </w:tc>
        <w:tc>
          <w:tcPr>
            <w:tcW w:w="993" w:type="dxa"/>
            <w:vAlign w:val="center"/>
          </w:tcPr>
          <w:p>
            <w:pPr>
              <w:pStyle w:val="13"/>
              <w:spacing w:before="1"/>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例</w:t>
            </w:r>
          </w:p>
        </w:tc>
        <w:tc>
          <w:tcPr>
            <w:tcW w:w="4997" w:type="dxa"/>
            <w:vAlign w:val="center"/>
          </w:tcPr>
          <w:p>
            <w:pPr>
              <w:pStyle w:val="13"/>
              <w:spacing w:before="1"/>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晋升周期内解读报告并制定用药方案不少于300例</w:t>
            </w:r>
          </w:p>
        </w:tc>
        <w:tc>
          <w:tcPr>
            <w:tcW w:w="5561" w:type="dxa"/>
            <w:vAlign w:val="center"/>
          </w:tcPr>
          <w:p>
            <w:pPr>
              <w:pStyle w:val="13"/>
              <w:spacing w:before="1"/>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晋升周期内解读报告并制定用药方案不少于300例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right="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药品供应管理</w:t>
            </w:r>
          </w:p>
        </w:tc>
        <w:tc>
          <w:tcPr>
            <w:tcW w:w="993"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条</w:t>
            </w:r>
          </w:p>
        </w:tc>
        <w:tc>
          <w:tcPr>
            <w:tcW w:w="4997" w:type="dxa"/>
            <w:vAlign w:val="center"/>
          </w:tcPr>
          <w:p>
            <w:pPr>
              <w:pStyle w:val="13"/>
              <w:spacing w:before="230" w:line="249" w:lineRule="auto"/>
              <w:ind w:left="15"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晋升周期内采购药品条目数不少于3万条；或收发药品条目数不少于3万条</w:t>
            </w:r>
          </w:p>
        </w:tc>
        <w:tc>
          <w:tcPr>
            <w:tcW w:w="5561" w:type="dxa"/>
            <w:vAlign w:val="center"/>
          </w:tcPr>
          <w:p>
            <w:pPr>
              <w:pStyle w:val="13"/>
              <w:spacing w:before="230" w:line="249" w:lineRule="auto"/>
              <w:ind w:left="13"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晋升周期内采购药品条目数不少于3万条；或收发药品条目数不少于3万条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right="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药物临床试验（包括BE）</w:t>
            </w:r>
          </w:p>
        </w:tc>
        <w:tc>
          <w:tcPr>
            <w:tcW w:w="993"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项</w:t>
            </w:r>
          </w:p>
        </w:tc>
        <w:tc>
          <w:tcPr>
            <w:tcW w:w="4997" w:type="dxa"/>
            <w:vAlign w:val="center"/>
          </w:tcPr>
          <w:p>
            <w:pPr>
              <w:pStyle w:val="13"/>
              <w:spacing w:before="230" w:line="249" w:lineRule="auto"/>
              <w:ind w:left="15"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晋升周期内参加临床试验项目不少于15项</w:t>
            </w:r>
          </w:p>
        </w:tc>
        <w:tc>
          <w:tcPr>
            <w:tcW w:w="5561" w:type="dxa"/>
            <w:vAlign w:val="center"/>
          </w:tcPr>
          <w:p>
            <w:pPr>
              <w:pStyle w:val="13"/>
              <w:spacing w:before="230" w:line="249" w:lineRule="auto"/>
              <w:ind w:left="13"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晋升周期内参加临床试验项目不少于15项，并至少包含3项为SUB-I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left="14" w:right="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药物临床试验管理</w:t>
            </w:r>
          </w:p>
        </w:tc>
        <w:tc>
          <w:tcPr>
            <w:tcW w:w="993"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例次</w:t>
            </w:r>
          </w:p>
        </w:tc>
        <w:tc>
          <w:tcPr>
            <w:tcW w:w="4997" w:type="dxa"/>
            <w:vAlign w:val="center"/>
          </w:tcPr>
          <w:p>
            <w:pPr>
              <w:pStyle w:val="13"/>
              <w:spacing w:before="230" w:line="249" w:lineRule="auto"/>
              <w:ind w:left="15"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晋升周期内质控病例数不少于500例次</w:t>
            </w:r>
          </w:p>
        </w:tc>
        <w:tc>
          <w:tcPr>
            <w:tcW w:w="5561" w:type="dxa"/>
            <w:vAlign w:val="center"/>
          </w:tcPr>
          <w:p>
            <w:pPr>
              <w:pStyle w:val="13"/>
              <w:spacing w:before="230" w:line="249" w:lineRule="auto"/>
              <w:ind w:left="13"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晋升周期内质控病例数不少于500例次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left="14" w:right="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临床试验药品管理</w:t>
            </w:r>
          </w:p>
        </w:tc>
        <w:tc>
          <w:tcPr>
            <w:tcW w:w="993"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项</w:t>
            </w:r>
          </w:p>
        </w:tc>
        <w:tc>
          <w:tcPr>
            <w:tcW w:w="4997" w:type="dxa"/>
            <w:vAlign w:val="center"/>
          </w:tcPr>
          <w:p>
            <w:pPr>
              <w:pStyle w:val="13"/>
              <w:spacing w:before="230" w:line="249" w:lineRule="auto"/>
              <w:ind w:left="15"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晋升周期内参与药品管理项目不少于15项</w:t>
            </w:r>
          </w:p>
        </w:tc>
        <w:tc>
          <w:tcPr>
            <w:tcW w:w="5561" w:type="dxa"/>
            <w:vAlign w:val="center"/>
          </w:tcPr>
          <w:p>
            <w:pPr>
              <w:pStyle w:val="13"/>
              <w:spacing w:before="230" w:line="249" w:lineRule="auto"/>
              <w:ind w:left="13"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晋升周期内参与药品管理项目不少于15项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vAlign w:val="center"/>
          </w:tcPr>
          <w:p>
            <w:pPr>
              <w:pStyle w:val="13"/>
              <w:spacing w:before="11" w:line="249" w:lineRule="auto"/>
              <w:ind w:left="14" w:right="4"/>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药学质控</w:t>
            </w:r>
          </w:p>
        </w:tc>
        <w:tc>
          <w:tcPr>
            <w:tcW w:w="993"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次</w:t>
            </w:r>
          </w:p>
        </w:tc>
        <w:tc>
          <w:tcPr>
            <w:tcW w:w="4997" w:type="dxa"/>
            <w:vAlign w:val="center"/>
          </w:tcPr>
          <w:p>
            <w:pPr>
              <w:pStyle w:val="13"/>
              <w:spacing w:before="230" w:line="249" w:lineRule="auto"/>
              <w:ind w:left="15"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晋升周期内参与药学质控工作不少于60次</w:t>
            </w:r>
          </w:p>
        </w:tc>
        <w:tc>
          <w:tcPr>
            <w:tcW w:w="5561" w:type="dxa"/>
            <w:vAlign w:val="center"/>
          </w:tcPr>
          <w:p>
            <w:pPr>
              <w:pStyle w:val="13"/>
              <w:spacing w:before="230" w:line="249" w:lineRule="auto"/>
              <w:ind w:left="13" w:right="3"/>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晋升周期内参与药学质控工作不少于60次</w:t>
            </w:r>
          </w:p>
        </w:tc>
      </w:tr>
    </w:tbl>
    <w:p>
      <w:pPr>
        <w:tabs>
          <w:tab w:val="left" w:pos="795"/>
        </w:tabs>
        <w:spacing w:before="12"/>
        <w:rPr>
          <w:rFonts w:ascii="楷体" w:hAnsi="楷体" w:eastAsia="楷体"/>
          <w:color w:val="000000" w:themeColor="text1"/>
          <w:sz w:val="24"/>
          <w14:textFill>
            <w14:solidFill>
              <w14:schemeClr w14:val="tx1"/>
            </w14:solidFill>
          </w14:textFill>
        </w:rPr>
      </w:pPr>
    </w:p>
    <w:p>
      <w:pPr>
        <w:widowControl/>
        <w:jc w:val="left"/>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br w:type="page"/>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注：</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1. 附表中专业工作时间为必备项目，其余工作量项目须满足任意两项。</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2. 药学门诊：药学门诊是指医疗机构开设的由药师为患者提供用药评估、用药咨询、用药教育、用药方案调整等一系列专业化药学服务的门诊。药学门诊半天（上午 4小时、下午3小时）为 1个有效单元。</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3. 处方点评数量：（1）门急诊处方点评数量是指晋升周期内点评的门急诊处方数、住院患者未在医嘱中的处方数和出院带药处方数，不包括出院患者住院医嘱。处方点评包括整体和专项点评。（2）住院医嘱点评数量是指出院患者住院医嘱点评数按点评的人数（即病历份数）统计，同一患者在同一次住院期间多个医嘱的处方点评，按1人统计。同一份病历被不同专项点评抽选到，可以分开统计。处方点评包括整体和专项点评。</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4. 药物重整：药物重整是指药师在住院患者入院、转科或出院等重要环节，通过与患者沟通、查看相关资料等方式，了解患者用药情况，比较目前正在使用的所有药物与用药医嘱是否合理一致，给出用药方案调整建议，并与医疗团队共同对不适宜用药进行调整的过程。药师应当建立并书写药物重整记录表。</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5. 药学监护数量：药师可通过药学查房、药物重整、用药教育、药学会诊、制定药学监护计划等形式开展药学监护工作的患者人次数，药师应当书写药学监护记录表或在病历中记录相关工作。</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6. 晋升周期内从事不同岗位的申报人员，其工作量可按不同的评价项目累积计算（按晋升周期内最低工作量为100%计，不同岗位累积完成工作量比例之和需大于等于100%，同一岗位最多提交两项工作量参与累积计算。例如某药师申报晋升副主任药师，晋升周期内该药师先后在门诊药师岗位（调配处方8万张、门诊处方点评6000张）、静脉配置药师岗位（参与静脉药物配置7万袋、住院医嘱点评600份）工作，</w:t>
      </w:r>
    </w:p>
    <w:p>
      <w:pPr>
        <w:tabs>
          <w:tab w:val="left" w:pos="795"/>
        </w:tabs>
        <w:spacing w:before="12"/>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工作量可累积计算为：评价项目 A=处方点评完成百分比（100%×8万张/15万张 +静脉配置完成百分比（100%×7万袋/10万袋）=123.3%；评价项目 B=处方点评完成百分比（100%×6000张/10000张）+医嘱点评完成百分比（100%×600份/1500份）=100%。以此类推）。</w:t>
      </w:r>
    </w:p>
    <w:p>
      <w:pPr>
        <w:tabs>
          <w:tab w:val="left" w:pos="795"/>
        </w:tabs>
        <w:spacing w:before="12"/>
        <w:rPr>
          <w:rFonts w:ascii="仿宋" w:hAnsi="仿宋" w:eastAsia="仿宋"/>
          <w:color w:val="000000" w:themeColor="text1"/>
          <w:sz w:val="32"/>
          <w:szCs w:val="32"/>
          <w14:textFill>
            <w14:solidFill>
              <w14:schemeClr w14:val="tx1"/>
            </w14:solidFill>
          </w14:textFill>
        </w:rPr>
        <w:sectPr>
          <w:footerReference r:id="rId3" w:type="default"/>
          <w:pgSz w:w="16838" w:h="11906" w:orient="landscape"/>
          <w:pgMar w:top="1797" w:right="1440" w:bottom="1797" w:left="1440" w:header="851" w:footer="992" w:gutter="0"/>
          <w:cols w:space="425" w:num="1"/>
          <w:docGrid w:linePitch="312" w:charSpace="0"/>
        </w:sectPr>
      </w:pPr>
      <w:r>
        <w:rPr>
          <w:rFonts w:hint="eastAsia" w:ascii="楷体" w:hAnsi="楷体" w:eastAsia="楷体"/>
          <w:color w:val="000000" w:themeColor="text1"/>
          <w:sz w:val="24"/>
          <w14:textFill>
            <w14:solidFill>
              <w14:schemeClr w14:val="tx1"/>
            </w14:solidFill>
          </w14:textFill>
        </w:rPr>
        <w:t>7.药学质控：医院药品管理、合理用药相关的质控工作，并有相关工作记录。</w:t>
      </w:r>
    </w:p>
    <w:p>
      <w:pPr>
        <w:spacing w:after="156" w:afterLines="50"/>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附表</w:t>
      </w:r>
      <w:r>
        <w:rPr>
          <w:rFonts w:hint="eastAsia" w:ascii="黑体" w:hAnsi="黑体" w:eastAsia="黑体"/>
          <w:color w:val="000000" w:themeColor="text1"/>
          <w:sz w:val="32"/>
          <w:szCs w:val="32"/>
          <w14:textFill>
            <w14:solidFill>
              <w14:schemeClr w14:val="tx1"/>
            </w14:solidFill>
          </w14:textFill>
        </w:rPr>
        <w:t>2</w:t>
      </w:r>
    </w:p>
    <w:p>
      <w:pPr>
        <w:widowControl/>
        <w:jc w:val="center"/>
        <w:rPr>
          <w:rFonts w:asciiTheme="minorEastAsia" w:hAnsiTheme="minorEastAsia"/>
          <w:color w:val="000000" w:themeColor="text1"/>
          <w:sz w:val="44"/>
          <w:szCs w:val="44"/>
          <w14:textFill>
            <w14:solidFill>
              <w14:schemeClr w14:val="tx1"/>
            </w14:solidFill>
          </w14:textFill>
        </w:rPr>
      </w:pPr>
      <w:r>
        <w:rPr>
          <w:rFonts w:cs="LinTimes" w:asciiTheme="minorEastAsia" w:hAnsiTheme="minorEastAsia"/>
          <w:b/>
          <w:color w:val="000000" w:themeColor="text1"/>
          <w:kern w:val="0"/>
          <w:sz w:val="44"/>
          <w:szCs w:val="44"/>
          <w:lang w:bidi="ar"/>
          <w14:textFill>
            <w14:solidFill>
              <w14:schemeClr w14:val="tx1"/>
            </w14:solidFill>
          </w14:textFill>
        </w:rPr>
        <w:t>中药学专业晋升高级职称工作量要求</w:t>
      </w:r>
    </w:p>
    <w:tbl>
      <w:tblPr>
        <w:tblStyle w:val="8"/>
        <w:tblW w:w="138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709"/>
        <w:gridCol w:w="5562"/>
        <w:gridCol w:w="5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2093"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评价项目</w:t>
            </w:r>
          </w:p>
        </w:tc>
        <w:tc>
          <w:tcPr>
            <w:tcW w:w="709"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单位</w:t>
            </w:r>
          </w:p>
        </w:tc>
        <w:tc>
          <w:tcPr>
            <w:tcW w:w="5562"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晋升副主任药师</w:t>
            </w:r>
          </w:p>
        </w:tc>
        <w:tc>
          <w:tcPr>
            <w:tcW w:w="5470"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晋升主任药师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7" w:hRule="atLeast"/>
          <w:jc w:val="center"/>
        </w:trPr>
        <w:tc>
          <w:tcPr>
            <w:tcW w:w="2093" w:type="dxa"/>
            <w:vAlign w:val="center"/>
          </w:tcPr>
          <w:p>
            <w:pPr>
              <w:pStyle w:val="13"/>
              <w:tabs>
                <w:tab w:val="left" w:pos="4180"/>
              </w:tabs>
              <w:spacing w:before="198"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专业工作时间</w:t>
            </w:r>
          </w:p>
        </w:tc>
        <w:tc>
          <w:tcPr>
            <w:tcW w:w="709"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周</w:t>
            </w:r>
          </w:p>
        </w:tc>
        <w:tc>
          <w:tcPr>
            <w:tcW w:w="5562" w:type="dxa"/>
            <w:vAlign w:val="center"/>
          </w:tcPr>
          <w:p>
            <w:pPr>
              <w:pStyle w:val="13"/>
              <w:tabs>
                <w:tab w:val="left" w:pos="4180"/>
              </w:tabs>
              <w:spacing w:before="198" w:line="252"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0"/>
                <w:sz w:val="24"/>
                <w:szCs w:val="24"/>
                <w14:textFill>
                  <w14:solidFill>
                    <w14:schemeClr w14:val="tx1"/>
                  </w14:solidFill>
                </w14:textFill>
              </w:rPr>
              <w:t>担任主管药师职务期间，平均每年参加专业工作时间</w:t>
            </w:r>
            <w:r>
              <w:rPr>
                <w:rFonts w:ascii="仿宋" w:hAnsi="仿宋" w:eastAsia="仿宋"/>
                <w:color w:val="000000" w:themeColor="text1"/>
                <w:spacing w:val="-15"/>
                <w:sz w:val="24"/>
                <w:szCs w:val="24"/>
                <w14:textFill>
                  <w14:solidFill>
                    <w14:schemeClr w14:val="tx1"/>
                  </w14:solidFill>
                </w14:textFill>
              </w:rPr>
              <w:t xml:space="preserve">不少于 </w:t>
            </w:r>
            <w:r>
              <w:rPr>
                <w:rFonts w:ascii="仿宋" w:hAnsi="仿宋" w:eastAsia="仿宋"/>
                <w:color w:val="000000" w:themeColor="text1"/>
                <w:sz w:val="24"/>
                <w:szCs w:val="24"/>
                <w14:textFill>
                  <w14:solidFill>
                    <w14:schemeClr w14:val="tx1"/>
                  </w14:solidFill>
                </w14:textFill>
              </w:rPr>
              <w:t>40 周</w:t>
            </w:r>
          </w:p>
        </w:tc>
        <w:tc>
          <w:tcPr>
            <w:tcW w:w="5470" w:type="dxa"/>
            <w:vAlign w:val="center"/>
          </w:tcPr>
          <w:p>
            <w:pPr>
              <w:pStyle w:val="13"/>
              <w:tabs>
                <w:tab w:val="left" w:pos="4180"/>
              </w:tabs>
              <w:spacing w:before="198" w:line="252"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0"/>
                <w:sz w:val="24"/>
                <w:szCs w:val="24"/>
                <w14:textFill>
                  <w14:solidFill>
                    <w14:schemeClr w14:val="tx1"/>
                  </w14:solidFill>
                </w14:textFill>
              </w:rPr>
              <w:t>担任副主任药师职务期间，平均每年参加专业工作时间</w:t>
            </w:r>
            <w:r>
              <w:rPr>
                <w:rFonts w:ascii="仿宋" w:hAnsi="仿宋" w:eastAsia="仿宋"/>
                <w:color w:val="000000" w:themeColor="text1"/>
                <w:spacing w:val="-15"/>
                <w:sz w:val="24"/>
                <w:szCs w:val="24"/>
                <w14:textFill>
                  <w14:solidFill>
                    <w14:schemeClr w14:val="tx1"/>
                  </w14:solidFill>
                </w14:textFill>
              </w:rPr>
              <w:t xml:space="preserve">不少于 </w:t>
            </w:r>
            <w:r>
              <w:rPr>
                <w:rFonts w:ascii="仿宋" w:hAnsi="仿宋" w:eastAsia="仿宋"/>
                <w:color w:val="000000" w:themeColor="text1"/>
                <w:sz w:val="24"/>
                <w:szCs w:val="24"/>
                <w14:textFill>
                  <w14:solidFill>
                    <w14:schemeClr w14:val="tx1"/>
                  </w14:solidFill>
                </w14:textFill>
              </w:rPr>
              <w:t>35 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jc w:val="center"/>
        </w:trPr>
        <w:tc>
          <w:tcPr>
            <w:tcW w:w="2093" w:type="dxa"/>
            <w:vAlign w:val="center"/>
          </w:tcPr>
          <w:p>
            <w:pPr>
              <w:pStyle w:val="13"/>
              <w:tabs>
                <w:tab w:val="left" w:pos="4180"/>
              </w:tabs>
              <w:spacing w:before="135" w:line="249" w:lineRule="auto"/>
              <w:ind w:right="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调剂中药处</w:t>
            </w:r>
            <w:r>
              <w:rPr>
                <w:rFonts w:ascii="仿宋" w:hAnsi="仿宋" w:eastAsia="仿宋"/>
                <w:color w:val="000000" w:themeColor="text1"/>
                <w:spacing w:val="-15"/>
                <w:sz w:val="24"/>
                <w:szCs w:val="24"/>
                <w14:textFill>
                  <w14:solidFill>
                    <w14:schemeClr w14:val="tx1"/>
                  </w14:solidFill>
                </w14:textFill>
              </w:rPr>
              <w:t>方</w:t>
            </w:r>
            <w:r>
              <w:rPr>
                <w:rFonts w:ascii="仿宋" w:hAnsi="仿宋" w:eastAsia="仿宋"/>
                <w:color w:val="000000" w:themeColor="text1"/>
                <w:sz w:val="24"/>
                <w:szCs w:val="24"/>
                <w14:textFill>
                  <w14:solidFill>
                    <w14:schemeClr w14:val="tx1"/>
                  </w14:solidFill>
                </w14:textFill>
              </w:rPr>
              <w:t>（医嘱</w:t>
            </w:r>
            <w:r>
              <w:rPr>
                <w:rFonts w:ascii="仿宋" w:hAnsi="仿宋" w:eastAsia="仿宋"/>
                <w:color w:val="000000" w:themeColor="text1"/>
                <w:spacing w:val="-17"/>
                <w:sz w:val="24"/>
                <w:szCs w:val="24"/>
                <w14:textFill>
                  <w14:solidFill>
                    <w14:schemeClr w14:val="tx1"/>
                  </w14:solidFill>
                </w14:textFill>
              </w:rPr>
              <w:t>）数</w:t>
            </w:r>
            <w:r>
              <w:rPr>
                <w:rFonts w:ascii="仿宋" w:hAnsi="仿宋" w:eastAsia="仿宋"/>
                <w:color w:val="000000" w:themeColor="text1"/>
                <w:sz w:val="24"/>
                <w:szCs w:val="24"/>
                <w14:textFill>
                  <w14:solidFill>
                    <w14:schemeClr w14:val="tx1"/>
                  </w14:solidFill>
                </w14:textFill>
              </w:rPr>
              <w:t>量（包括审核）</w:t>
            </w:r>
          </w:p>
        </w:tc>
        <w:tc>
          <w:tcPr>
            <w:tcW w:w="709"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张/剂/条</w:t>
            </w:r>
          </w:p>
        </w:tc>
        <w:tc>
          <w:tcPr>
            <w:tcW w:w="5562" w:type="dxa"/>
            <w:vAlign w:val="center"/>
          </w:tcPr>
          <w:p>
            <w:pPr>
              <w:pStyle w:val="13"/>
              <w:tabs>
                <w:tab w:val="left" w:pos="4180"/>
              </w:tabs>
              <w:spacing w:before="135"/>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 xml:space="preserve">在岗期间调配中药处方数量不少于平均 </w:t>
            </w:r>
            <w:r>
              <w:rPr>
                <w:rFonts w:hint="eastAsia" w:ascii="仿宋" w:hAnsi="仿宋" w:eastAsia="仿宋"/>
                <w:color w:val="000000" w:themeColor="text1"/>
                <w:spacing w:val="-4"/>
                <w:sz w:val="24"/>
                <w:szCs w:val="24"/>
                <w14:textFill>
                  <w14:solidFill>
                    <w14:schemeClr w14:val="tx1"/>
                  </w14:solidFill>
                </w14:textFill>
              </w:rPr>
              <w:t>25</w:t>
            </w:r>
            <w:r>
              <w:rPr>
                <w:rFonts w:ascii="仿宋" w:hAnsi="仿宋" w:eastAsia="仿宋"/>
                <w:color w:val="000000" w:themeColor="text1"/>
                <w:spacing w:val="-4"/>
                <w:sz w:val="24"/>
                <w:szCs w:val="24"/>
                <w14:textFill>
                  <w14:solidFill>
                    <w14:schemeClr w14:val="tx1"/>
                  </w14:solidFill>
                </w14:textFill>
              </w:rPr>
              <w:t xml:space="preserve">张/天或住院中药医嘱不少于平均 </w:t>
            </w:r>
            <w:r>
              <w:rPr>
                <w:rFonts w:hint="eastAsia" w:ascii="仿宋" w:hAnsi="仿宋" w:eastAsia="仿宋"/>
                <w:color w:val="000000" w:themeColor="text1"/>
                <w:spacing w:val="-4"/>
                <w:sz w:val="24"/>
                <w:szCs w:val="24"/>
                <w:lang w:val="en-US"/>
                <w14:textFill>
                  <w14:solidFill>
                    <w14:schemeClr w14:val="tx1"/>
                  </w14:solidFill>
                </w14:textFill>
              </w:rPr>
              <w:t>50</w:t>
            </w:r>
            <w:r>
              <w:rPr>
                <w:rFonts w:ascii="仿宋" w:hAnsi="仿宋" w:eastAsia="仿宋"/>
                <w:color w:val="000000" w:themeColor="text1"/>
                <w:spacing w:val="-4"/>
                <w:sz w:val="24"/>
                <w:szCs w:val="24"/>
                <w14:textFill>
                  <w14:solidFill>
                    <w14:schemeClr w14:val="tx1"/>
                  </w14:solidFill>
                </w14:textFill>
              </w:rPr>
              <w:t>条/天；或晋升周期内调配中药处方数量不少于</w:t>
            </w:r>
            <w:r>
              <w:rPr>
                <w:rFonts w:hint="eastAsia" w:ascii="仿宋" w:hAnsi="仿宋" w:eastAsia="仿宋"/>
                <w:color w:val="000000" w:themeColor="text1"/>
                <w:spacing w:val="-4"/>
                <w:sz w:val="24"/>
                <w:szCs w:val="24"/>
                <w14:textFill>
                  <w14:solidFill>
                    <w14:schemeClr w14:val="tx1"/>
                  </w14:solidFill>
                </w14:textFill>
              </w:rPr>
              <w:t>2.</w:t>
            </w:r>
            <w:r>
              <w:rPr>
                <w:rFonts w:hint="eastAsia" w:ascii="仿宋" w:hAnsi="仿宋" w:eastAsia="仿宋"/>
                <w:color w:val="000000" w:themeColor="text1"/>
                <w:spacing w:val="-4"/>
                <w:sz w:val="24"/>
                <w:szCs w:val="24"/>
                <w:lang w:val="en-US"/>
                <w14:textFill>
                  <w14:solidFill>
                    <w14:schemeClr w14:val="tx1"/>
                  </w14:solidFill>
                </w14:textFill>
              </w:rPr>
              <w:t xml:space="preserve">5 </w:t>
            </w:r>
            <w:r>
              <w:rPr>
                <w:rFonts w:ascii="仿宋" w:hAnsi="仿宋" w:eastAsia="仿宋"/>
                <w:color w:val="000000" w:themeColor="text1"/>
                <w:spacing w:val="-4"/>
                <w:sz w:val="24"/>
                <w:szCs w:val="24"/>
                <w14:textFill>
                  <w14:solidFill>
                    <w14:schemeClr w14:val="tx1"/>
                  </w14:solidFill>
                </w14:textFill>
              </w:rPr>
              <w:t>万张或住院中药医嘱不少于 万条</w:t>
            </w:r>
          </w:p>
        </w:tc>
        <w:tc>
          <w:tcPr>
            <w:tcW w:w="5470" w:type="dxa"/>
            <w:vAlign w:val="center"/>
          </w:tcPr>
          <w:p>
            <w:pPr>
              <w:pStyle w:val="13"/>
              <w:tabs>
                <w:tab w:val="left" w:pos="4180"/>
              </w:tabs>
              <w:spacing w:before="135"/>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在</w:t>
            </w:r>
            <w:r>
              <w:rPr>
                <w:rFonts w:ascii="仿宋" w:hAnsi="仿宋" w:eastAsia="仿宋"/>
                <w:color w:val="000000" w:themeColor="text1"/>
                <w:spacing w:val="-4"/>
                <w:sz w:val="24"/>
                <w:szCs w:val="24"/>
                <w14:textFill>
                  <w14:solidFill>
                    <w14:schemeClr w14:val="tx1"/>
                  </w14:solidFill>
                </w14:textFill>
              </w:rPr>
              <w:t>岗期间调配中药处方数量不少于平均</w:t>
            </w:r>
            <w:r>
              <w:rPr>
                <w:rFonts w:hint="eastAsia" w:ascii="仿宋" w:hAnsi="仿宋" w:eastAsia="仿宋"/>
                <w:color w:val="000000" w:themeColor="text1"/>
                <w:spacing w:val="-4"/>
                <w:sz w:val="24"/>
                <w:szCs w:val="24"/>
                <w:lang w:val="en-US"/>
                <w14:textFill>
                  <w14:solidFill>
                    <w14:schemeClr w14:val="tx1"/>
                  </w14:solidFill>
                </w14:textFill>
              </w:rPr>
              <w:t>20</w:t>
            </w:r>
            <w:r>
              <w:rPr>
                <w:rFonts w:ascii="仿宋" w:hAnsi="仿宋" w:eastAsia="仿宋"/>
                <w:color w:val="000000" w:themeColor="text1"/>
                <w:spacing w:val="-4"/>
                <w:sz w:val="24"/>
                <w:szCs w:val="24"/>
                <w14:textFill>
                  <w14:solidFill>
                    <w14:schemeClr w14:val="tx1"/>
                  </w14:solidFill>
                </w14:textFill>
              </w:rPr>
              <w:t>张/天或住院中药医嘱不少于平均</w:t>
            </w:r>
            <w:r>
              <w:rPr>
                <w:rFonts w:hint="eastAsia" w:ascii="仿宋" w:hAnsi="仿宋" w:eastAsia="仿宋"/>
                <w:color w:val="000000" w:themeColor="text1"/>
                <w:spacing w:val="-4"/>
                <w:sz w:val="24"/>
                <w:szCs w:val="24"/>
                <w:lang w:val="en-US"/>
                <w14:textFill>
                  <w14:solidFill>
                    <w14:schemeClr w14:val="tx1"/>
                  </w14:solidFill>
                </w14:textFill>
              </w:rPr>
              <w:t>40</w:t>
            </w:r>
            <w:r>
              <w:rPr>
                <w:rFonts w:ascii="仿宋" w:hAnsi="仿宋" w:eastAsia="仿宋"/>
                <w:color w:val="000000" w:themeColor="text1"/>
                <w:spacing w:val="-4"/>
                <w:sz w:val="24"/>
                <w:szCs w:val="24"/>
                <w14:textFill>
                  <w14:solidFill>
                    <w14:schemeClr w14:val="tx1"/>
                  </w14:solidFill>
                </w14:textFill>
              </w:rPr>
              <w:t xml:space="preserve"> 条/天；或晋升周期内调配中药处方数量不少于</w:t>
            </w:r>
            <w:r>
              <w:rPr>
                <w:rFonts w:hint="eastAsia" w:ascii="仿宋" w:hAnsi="仿宋" w:eastAsia="仿宋"/>
                <w:color w:val="000000" w:themeColor="text1"/>
                <w:spacing w:val="-4"/>
                <w:sz w:val="24"/>
                <w:szCs w:val="24"/>
                <w:lang w:val="en-US"/>
                <w14:textFill>
                  <w14:solidFill>
                    <w14:schemeClr w14:val="tx1"/>
                  </w14:solidFill>
                </w14:textFill>
              </w:rPr>
              <w:t>2</w:t>
            </w:r>
            <w:r>
              <w:rPr>
                <w:rFonts w:ascii="仿宋" w:hAnsi="仿宋" w:eastAsia="仿宋"/>
                <w:color w:val="000000" w:themeColor="text1"/>
                <w:spacing w:val="-4"/>
                <w:sz w:val="24"/>
                <w:szCs w:val="24"/>
                <w14:textFill>
                  <w14:solidFill>
                    <w14:schemeClr w14:val="tx1"/>
                  </w14:solidFill>
                </w14:textFill>
              </w:rPr>
              <w:t>万张或住院中药医嘱不少于</w:t>
            </w:r>
            <w:r>
              <w:rPr>
                <w:rFonts w:hint="eastAsia" w:ascii="仿宋" w:hAnsi="仿宋" w:eastAsia="仿宋"/>
                <w:color w:val="000000" w:themeColor="text1"/>
                <w:spacing w:val="-4"/>
                <w:sz w:val="24"/>
                <w:szCs w:val="24"/>
                <w:lang w:val="en-US"/>
                <w14:textFill>
                  <w14:solidFill>
                    <w14:schemeClr w14:val="tx1"/>
                  </w14:solidFill>
                </w14:textFill>
              </w:rPr>
              <w:t>4</w:t>
            </w:r>
            <w:r>
              <w:rPr>
                <w:rFonts w:ascii="仿宋" w:hAnsi="仿宋" w:eastAsia="仿宋"/>
                <w:color w:val="000000" w:themeColor="text1"/>
                <w:spacing w:val="-4"/>
                <w:sz w:val="24"/>
                <w:szCs w:val="24"/>
                <w14:textFill>
                  <w14:solidFill>
                    <w14:schemeClr w14:val="tx1"/>
                  </w14:solidFill>
                </w14:textFill>
              </w:rPr>
              <w:t>万条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jc w:val="center"/>
        </w:trPr>
        <w:tc>
          <w:tcPr>
            <w:tcW w:w="2093" w:type="dxa"/>
            <w:vAlign w:val="center"/>
          </w:tcPr>
          <w:p>
            <w:pPr>
              <w:pStyle w:val="13"/>
              <w:tabs>
                <w:tab w:val="left" w:pos="4180"/>
              </w:tabs>
              <w:spacing w:before="1"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静脉用药调配数量</w:t>
            </w:r>
          </w:p>
        </w:tc>
        <w:tc>
          <w:tcPr>
            <w:tcW w:w="709" w:type="dxa"/>
            <w:vAlign w:val="center"/>
          </w:tcPr>
          <w:p>
            <w:pPr>
              <w:pStyle w:val="13"/>
              <w:tabs>
                <w:tab w:val="left" w:pos="4180"/>
              </w:tabs>
              <w:spacing w:before="1"/>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袋</w:t>
            </w:r>
          </w:p>
        </w:tc>
        <w:tc>
          <w:tcPr>
            <w:tcW w:w="5562" w:type="dxa"/>
            <w:vAlign w:val="center"/>
          </w:tcPr>
          <w:p>
            <w:pPr>
              <w:pStyle w:val="13"/>
              <w:tabs>
                <w:tab w:val="left" w:pos="4180"/>
              </w:tabs>
              <w:spacing w:before="1"/>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在岗期间静脉用药调配数平均每天不少于</w:t>
            </w:r>
            <w:r>
              <w:rPr>
                <w:rFonts w:hint="eastAsia" w:ascii="仿宋" w:hAnsi="仿宋" w:eastAsia="仿宋"/>
                <w:color w:val="000000" w:themeColor="text1"/>
                <w:sz w:val="24"/>
                <w:szCs w:val="24"/>
                <w14:textFill>
                  <w14:solidFill>
                    <w14:schemeClr w14:val="tx1"/>
                  </w14:solidFill>
                </w14:textFill>
              </w:rPr>
              <w:t>20</w:t>
            </w:r>
            <w:r>
              <w:rPr>
                <w:rFonts w:ascii="仿宋" w:hAnsi="仿宋" w:eastAsia="仿宋"/>
                <w:color w:val="000000" w:themeColor="text1"/>
                <w:sz w:val="24"/>
                <w:szCs w:val="24"/>
                <w14:textFill>
                  <w14:solidFill>
                    <w14:schemeClr w14:val="tx1"/>
                  </w14:solidFill>
                </w14:textFill>
              </w:rPr>
              <w:t xml:space="preserve">袋；或晋升周期内完成不少于 </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万袋</w:t>
            </w:r>
          </w:p>
        </w:tc>
        <w:tc>
          <w:tcPr>
            <w:tcW w:w="5470" w:type="dxa"/>
            <w:vAlign w:val="center"/>
          </w:tcPr>
          <w:p>
            <w:pPr>
              <w:pStyle w:val="13"/>
              <w:tabs>
                <w:tab w:val="left" w:pos="4180"/>
              </w:tabs>
              <w:spacing w:before="1"/>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在岗期间静脉用药调配数平均每天不少于</w:t>
            </w:r>
            <w:r>
              <w:rPr>
                <w:rFonts w:hint="eastAsia" w:ascii="仿宋" w:hAnsi="仿宋" w:eastAsia="仿宋"/>
                <w:color w:val="000000" w:themeColor="text1"/>
                <w:sz w:val="24"/>
                <w:szCs w:val="24"/>
                <w14:textFill>
                  <w14:solidFill>
                    <w14:schemeClr w14:val="tx1"/>
                  </w14:solidFill>
                </w14:textFill>
              </w:rPr>
              <w:t>15</w:t>
            </w:r>
            <w:r>
              <w:rPr>
                <w:rFonts w:ascii="仿宋" w:hAnsi="仿宋" w:eastAsia="仿宋"/>
                <w:color w:val="000000" w:themeColor="text1"/>
                <w:sz w:val="24"/>
                <w:szCs w:val="24"/>
                <w14:textFill>
                  <w14:solidFill>
                    <w14:schemeClr w14:val="tx1"/>
                  </w14:solidFill>
                </w14:textFill>
              </w:rPr>
              <w:t xml:space="preserve">袋；或晋升周期内完成不少于 </w:t>
            </w:r>
            <w:r>
              <w:rPr>
                <w:rFonts w:hint="eastAsia" w:ascii="仿宋" w:hAnsi="仿宋" w:eastAsia="仿宋"/>
                <w:color w:val="000000" w:themeColor="text1"/>
                <w:sz w:val="24"/>
                <w:szCs w:val="24"/>
                <w14:textFill>
                  <w14:solidFill>
                    <w14:schemeClr w14:val="tx1"/>
                  </w14:solidFill>
                </w14:textFill>
              </w:rPr>
              <w:t>1.5</w:t>
            </w:r>
            <w:r>
              <w:rPr>
                <w:rFonts w:ascii="仿宋" w:hAnsi="仿宋" w:eastAsia="仿宋"/>
                <w:color w:val="000000" w:themeColor="text1"/>
                <w:sz w:val="24"/>
                <w:szCs w:val="24"/>
                <w14:textFill>
                  <w14:solidFill>
                    <w14:schemeClr w14:val="tx1"/>
                  </w14:solidFill>
                </w14:textFill>
              </w:rPr>
              <w:t>万袋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2" w:hRule="atLeast"/>
          <w:jc w:val="center"/>
        </w:trPr>
        <w:tc>
          <w:tcPr>
            <w:tcW w:w="2093" w:type="dxa"/>
            <w:vAlign w:val="center"/>
          </w:tcPr>
          <w:p>
            <w:pPr>
              <w:pStyle w:val="13"/>
              <w:tabs>
                <w:tab w:val="left" w:pos="4180"/>
              </w:tabs>
              <w:spacing w:before="170" w:line="249"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医院制剂数量</w:t>
            </w:r>
          </w:p>
        </w:tc>
        <w:tc>
          <w:tcPr>
            <w:tcW w:w="709" w:type="dxa"/>
            <w:vAlign w:val="center"/>
          </w:tcPr>
          <w:p>
            <w:pPr>
              <w:pStyle w:val="13"/>
              <w:tabs>
                <w:tab w:val="left" w:pos="4180"/>
              </w:tabs>
              <w:spacing w:before="9" w:line="249" w:lineRule="auto"/>
              <w:ind w:right="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批次/支、盒、包、袋</w:t>
            </w:r>
          </w:p>
        </w:tc>
        <w:tc>
          <w:tcPr>
            <w:tcW w:w="5562" w:type="dxa"/>
            <w:vAlign w:val="center"/>
          </w:tcPr>
          <w:p>
            <w:pPr>
              <w:pStyle w:val="13"/>
              <w:tabs>
                <w:tab w:val="left" w:pos="4180"/>
              </w:tabs>
              <w:spacing w:before="117" w:line="290" w:lineRule="exact"/>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符合以下条件之一：</w:t>
            </w:r>
          </w:p>
          <w:p>
            <w:pPr>
              <w:pStyle w:val="13"/>
              <w:tabs>
                <w:tab w:val="left" w:pos="4180"/>
              </w:tabs>
              <w:spacing w:before="9" w:line="249" w:lineRule="auto"/>
              <w:ind w:right="3"/>
              <w:jc w:val="both"/>
              <w:rPr>
                <w:rFonts w:ascii="仿宋" w:hAnsi="仿宋" w:eastAsia="仿宋"/>
                <w:color w:val="000000" w:themeColor="text1"/>
                <w:spacing w:val="-120"/>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pacing w:val="-5"/>
                <w:sz w:val="24"/>
                <w:szCs w:val="24"/>
                <w14:textFill>
                  <w14:solidFill>
                    <w14:schemeClr w14:val="tx1"/>
                  </w14:solidFill>
                </w14:textFill>
              </w:rPr>
              <w:t>完成医院制剂生产、质控、检验、仓库管理年均不</w:t>
            </w:r>
            <w:r>
              <w:rPr>
                <w:rFonts w:ascii="仿宋" w:hAnsi="仿宋" w:eastAsia="仿宋"/>
                <w:color w:val="000000" w:themeColor="text1"/>
                <w:spacing w:val="-20"/>
                <w:sz w:val="24"/>
                <w:szCs w:val="24"/>
                <w14:textFill>
                  <w14:solidFill>
                    <w14:schemeClr w14:val="tx1"/>
                  </w14:solidFill>
                </w14:textFill>
              </w:rPr>
              <w:t xml:space="preserve">少于 </w:t>
            </w:r>
            <w:r>
              <w:rPr>
                <w:rFonts w:ascii="仿宋" w:hAnsi="仿宋" w:eastAsia="仿宋"/>
                <w:color w:val="000000" w:themeColor="text1"/>
                <w:sz w:val="24"/>
                <w:szCs w:val="24"/>
                <w14:textFill>
                  <w14:solidFill>
                    <w14:schemeClr w14:val="tx1"/>
                  </w14:solidFill>
                </w14:textFill>
              </w:rPr>
              <w:t xml:space="preserve">12 </w:t>
            </w:r>
            <w:r>
              <w:rPr>
                <w:rFonts w:ascii="仿宋" w:hAnsi="仿宋" w:eastAsia="仿宋"/>
                <w:color w:val="000000" w:themeColor="text1"/>
                <w:spacing w:val="-13"/>
                <w:sz w:val="24"/>
                <w:szCs w:val="24"/>
                <w14:textFill>
                  <w14:solidFill>
                    <w14:schemeClr w14:val="tx1"/>
                  </w14:solidFill>
                </w14:textFill>
              </w:rPr>
              <w:t xml:space="preserve">批次，或不少于 </w:t>
            </w:r>
            <w:r>
              <w:rPr>
                <w:rFonts w:ascii="仿宋" w:hAnsi="仿宋" w:eastAsia="仿宋"/>
                <w:color w:val="000000" w:themeColor="text1"/>
                <w:sz w:val="24"/>
                <w:szCs w:val="24"/>
                <w14:textFill>
                  <w14:solidFill>
                    <w14:schemeClr w14:val="tx1"/>
                  </w14:solidFill>
                </w14:textFill>
              </w:rPr>
              <w:t xml:space="preserve">0.5 </w:t>
            </w:r>
            <w:r>
              <w:rPr>
                <w:rFonts w:ascii="仿宋" w:hAnsi="仿宋" w:eastAsia="仿宋"/>
                <w:color w:val="000000" w:themeColor="text1"/>
                <w:spacing w:val="-15"/>
                <w:sz w:val="24"/>
                <w:szCs w:val="24"/>
                <w14:textFill>
                  <w14:solidFill>
                    <w14:schemeClr w14:val="tx1"/>
                  </w14:solidFill>
                </w14:textFill>
              </w:rPr>
              <w:t>万瓶</w:t>
            </w:r>
            <w:r>
              <w:rPr>
                <w:rFonts w:ascii="仿宋" w:hAnsi="仿宋" w:eastAsia="仿宋"/>
                <w:color w:val="000000" w:themeColor="text1"/>
                <w:spacing w:val="-3"/>
                <w:sz w:val="24"/>
                <w:szCs w:val="24"/>
                <w14:textFill>
                  <w14:solidFill>
                    <w14:schemeClr w14:val="tx1"/>
                  </w14:solidFill>
                </w14:textFill>
              </w:rPr>
              <w:t>（</w:t>
            </w:r>
            <w:r>
              <w:rPr>
                <w:rFonts w:ascii="仿宋" w:hAnsi="仿宋" w:eastAsia="仿宋"/>
                <w:color w:val="000000" w:themeColor="text1"/>
                <w:spacing w:val="-16"/>
                <w:sz w:val="24"/>
                <w:szCs w:val="24"/>
                <w14:textFill>
                  <w14:solidFill>
                    <w14:schemeClr w14:val="tx1"/>
                  </w14:solidFill>
                </w14:textFill>
              </w:rPr>
              <w:t>支、盒、包、袋</w:t>
            </w:r>
            <w:r>
              <w:rPr>
                <w:rFonts w:ascii="仿宋" w:hAnsi="仿宋" w:eastAsia="仿宋"/>
                <w:color w:val="000000" w:themeColor="text1"/>
                <w:spacing w:val="-120"/>
                <w:sz w:val="24"/>
                <w:szCs w:val="24"/>
                <w14:textFill>
                  <w14:solidFill>
                    <w14:schemeClr w14:val="tx1"/>
                  </w14:solidFill>
                </w14:textFill>
              </w:rPr>
              <w:t>）</w:t>
            </w:r>
          </w:p>
          <w:p>
            <w:pPr>
              <w:pStyle w:val="13"/>
              <w:tabs>
                <w:tab w:val="left" w:pos="4180"/>
              </w:tabs>
              <w:spacing w:before="9" w:line="249"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pacing w:val="-4"/>
                <w:sz w:val="24"/>
                <w:szCs w:val="24"/>
                <w14:textFill>
                  <w14:solidFill>
                    <w14:schemeClr w14:val="tx1"/>
                  </w14:solidFill>
                </w14:textFill>
              </w:rPr>
              <w:t>完成医院制剂生产、质控、检验、仓库管理不少</w:t>
            </w:r>
            <w:r>
              <w:rPr>
                <w:rFonts w:ascii="仿宋" w:hAnsi="仿宋" w:eastAsia="仿宋"/>
                <w:color w:val="000000" w:themeColor="text1"/>
                <w:spacing w:val="-17"/>
                <w:sz w:val="24"/>
                <w:szCs w:val="24"/>
                <w14:textFill>
                  <w14:solidFill>
                    <w14:schemeClr w14:val="tx1"/>
                  </w14:solidFill>
                </w14:textFill>
              </w:rPr>
              <w:t>于</w:t>
            </w:r>
            <w:r>
              <w:rPr>
                <w:rFonts w:hint="eastAsia" w:ascii="仿宋" w:hAnsi="仿宋" w:eastAsia="仿宋"/>
                <w:color w:val="000000" w:themeColor="text1"/>
                <w:spacing w:val="-17"/>
                <w:sz w:val="24"/>
                <w:szCs w:val="24"/>
                <w14:textFill>
                  <w14:solidFill>
                    <w14:schemeClr w14:val="tx1"/>
                  </w14:solidFill>
                </w14:textFill>
              </w:rPr>
              <w:t>60</w:t>
            </w:r>
            <w:r>
              <w:rPr>
                <w:rFonts w:ascii="仿宋" w:hAnsi="仿宋" w:eastAsia="仿宋"/>
                <w:color w:val="000000" w:themeColor="text1"/>
                <w:sz w:val="24"/>
                <w:szCs w:val="24"/>
                <w14:textFill>
                  <w14:solidFill>
                    <w14:schemeClr w14:val="tx1"/>
                  </w14:solidFill>
                </w14:textFill>
              </w:rPr>
              <w:t>批次，或不少于 2.5 万瓶（支、盒、包、袋）</w:t>
            </w:r>
          </w:p>
        </w:tc>
        <w:tc>
          <w:tcPr>
            <w:tcW w:w="5470" w:type="dxa"/>
            <w:vAlign w:val="center"/>
          </w:tcPr>
          <w:p>
            <w:pPr>
              <w:pStyle w:val="13"/>
              <w:tabs>
                <w:tab w:val="left" w:pos="4180"/>
              </w:tabs>
              <w:spacing w:before="117" w:line="290" w:lineRule="exact"/>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符合以下条件之一：</w:t>
            </w:r>
          </w:p>
          <w:p>
            <w:pPr>
              <w:pStyle w:val="13"/>
              <w:tabs>
                <w:tab w:val="left" w:pos="181"/>
                <w:tab w:val="left" w:pos="4180"/>
              </w:tabs>
              <w:spacing w:before="9"/>
              <w:ind w:right="3"/>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pacing w:val="-7"/>
                <w:sz w:val="24"/>
                <w:szCs w:val="24"/>
                <w14:textFill>
                  <w14:solidFill>
                    <w14:schemeClr w14:val="tx1"/>
                  </w14:solidFill>
                </w14:textFill>
              </w:rPr>
              <w:t>1.</w:t>
            </w:r>
            <w:r>
              <w:rPr>
                <w:rFonts w:ascii="仿宋" w:hAnsi="仿宋" w:eastAsia="仿宋"/>
                <w:color w:val="000000" w:themeColor="text1"/>
                <w:spacing w:val="-7"/>
                <w:sz w:val="24"/>
                <w:szCs w:val="24"/>
                <w14:textFill>
                  <w14:solidFill>
                    <w14:schemeClr w14:val="tx1"/>
                  </w14:solidFill>
                </w14:textFill>
              </w:rPr>
              <w:t>完成医院制剂生产、质控、检验、仓库管理年均不少</w:t>
            </w:r>
            <w:r>
              <w:rPr>
                <w:rFonts w:ascii="仿宋" w:hAnsi="仿宋" w:eastAsia="仿宋"/>
                <w:color w:val="000000" w:themeColor="text1"/>
                <w:spacing w:val="-29"/>
                <w:sz w:val="24"/>
                <w:szCs w:val="24"/>
                <w14:textFill>
                  <w14:solidFill>
                    <w14:schemeClr w14:val="tx1"/>
                  </w14:solidFill>
                </w14:textFill>
              </w:rPr>
              <w:t xml:space="preserve">。 于 </w:t>
            </w:r>
            <w:r>
              <w:rPr>
                <w:rFonts w:ascii="仿宋" w:hAnsi="仿宋" w:eastAsia="仿宋"/>
                <w:color w:val="000000" w:themeColor="text1"/>
                <w:sz w:val="24"/>
                <w:szCs w:val="24"/>
                <w14:textFill>
                  <w14:solidFill>
                    <w14:schemeClr w14:val="tx1"/>
                  </w14:solidFill>
                </w14:textFill>
              </w:rPr>
              <w:t xml:space="preserve">10 </w:t>
            </w:r>
            <w:r>
              <w:rPr>
                <w:rFonts w:ascii="仿宋" w:hAnsi="仿宋" w:eastAsia="仿宋"/>
                <w:color w:val="000000" w:themeColor="text1"/>
                <w:spacing w:val="-8"/>
                <w:sz w:val="24"/>
                <w:szCs w:val="24"/>
                <w14:textFill>
                  <w14:solidFill>
                    <w14:schemeClr w14:val="tx1"/>
                  </w14:solidFill>
                </w14:textFill>
              </w:rPr>
              <w:t xml:space="preserve">批次，或不少于 </w:t>
            </w:r>
            <w:r>
              <w:rPr>
                <w:rFonts w:ascii="仿宋" w:hAnsi="仿宋" w:eastAsia="仿宋"/>
                <w:color w:val="000000" w:themeColor="text1"/>
                <w:sz w:val="24"/>
                <w:szCs w:val="24"/>
                <w14:textFill>
                  <w14:solidFill>
                    <w14:schemeClr w14:val="tx1"/>
                  </w14:solidFill>
                </w14:textFill>
              </w:rPr>
              <w:t>0.4 万瓶（支、盒、包、袋）</w:t>
            </w:r>
            <w:r>
              <w:rPr>
                <w:rFonts w:ascii="仿宋" w:hAnsi="仿宋" w:eastAsia="仿宋"/>
                <w:color w:val="000000" w:themeColor="text1"/>
                <w:spacing w:val="-16"/>
                <w:sz w:val="24"/>
                <w:szCs w:val="24"/>
                <w14:textFill>
                  <w14:solidFill>
                    <w14:schemeClr w14:val="tx1"/>
                  </w14:solidFill>
                </w14:textFill>
              </w:rPr>
              <w:t>。</w:t>
            </w:r>
          </w:p>
          <w:p>
            <w:pPr>
              <w:pStyle w:val="13"/>
              <w:tabs>
                <w:tab w:val="left" w:pos="373"/>
                <w:tab w:val="left" w:pos="4180"/>
              </w:tabs>
              <w:spacing w:before="14"/>
              <w:jc w:val="both"/>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完成医院制剂生产、质控、检验、仓库管理不少于500 批次，或不少于 2 万瓶（支、盒、包、袋）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pStyle w:val="13"/>
              <w:tabs>
                <w:tab w:val="left" w:pos="4180"/>
              </w:tabs>
              <w:spacing w:line="249" w:lineRule="auto"/>
              <w:ind w:right="22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完成药库工作量</w:t>
            </w:r>
          </w:p>
        </w:tc>
        <w:tc>
          <w:tcPr>
            <w:tcW w:w="709"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批次</w:t>
            </w:r>
          </w:p>
        </w:tc>
        <w:tc>
          <w:tcPr>
            <w:tcW w:w="5562" w:type="dxa"/>
            <w:vAlign w:val="center"/>
          </w:tcPr>
          <w:p>
            <w:pPr>
              <w:pStyle w:val="13"/>
              <w:tabs>
                <w:tab w:val="left" w:pos="4180"/>
              </w:tabs>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3"/>
                <w:sz w:val="24"/>
                <w:szCs w:val="24"/>
                <w14:textFill>
                  <w14:solidFill>
                    <w14:schemeClr w14:val="tx1"/>
                  </w14:solidFill>
                </w14:textFill>
              </w:rPr>
              <w:t>完成药品</w:t>
            </w:r>
            <w:r>
              <w:rPr>
                <w:rFonts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pacing w:val="-3"/>
                <w:sz w:val="24"/>
                <w:szCs w:val="24"/>
                <w14:textFill>
                  <w14:solidFill>
                    <w14:schemeClr w14:val="tx1"/>
                  </w14:solidFill>
                </w14:textFill>
              </w:rPr>
              <w:t>含中药、西药</w:t>
            </w:r>
            <w:r>
              <w:rPr>
                <w:rFonts w:ascii="仿宋" w:hAnsi="仿宋" w:eastAsia="仿宋"/>
                <w:color w:val="000000" w:themeColor="text1"/>
                <w:spacing w:val="-10"/>
                <w:sz w:val="24"/>
                <w:szCs w:val="24"/>
                <w14:textFill>
                  <w14:solidFill>
                    <w14:schemeClr w14:val="tx1"/>
                  </w14:solidFill>
                </w14:textFill>
              </w:rPr>
              <w:t>）</w:t>
            </w:r>
            <w:r>
              <w:rPr>
                <w:rFonts w:ascii="仿宋" w:hAnsi="仿宋" w:eastAsia="仿宋"/>
                <w:color w:val="000000" w:themeColor="text1"/>
                <w:spacing w:val="-7"/>
                <w:sz w:val="24"/>
                <w:szCs w:val="24"/>
                <w14:textFill>
                  <w14:solidFill>
                    <w14:schemeClr w14:val="tx1"/>
                  </w14:solidFill>
                </w14:textFill>
              </w:rPr>
              <w:t xml:space="preserve">出入库年均不少于 </w:t>
            </w:r>
            <w:r>
              <w:rPr>
                <w:rFonts w:ascii="仿宋" w:hAnsi="仿宋" w:eastAsia="仿宋"/>
                <w:color w:val="000000" w:themeColor="text1"/>
                <w:sz w:val="24"/>
                <w:szCs w:val="24"/>
                <w14:textFill>
                  <w14:solidFill>
                    <w14:schemeClr w14:val="tx1"/>
                  </w14:solidFill>
                </w14:textFill>
              </w:rPr>
              <w:t>0.</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 xml:space="preserve">5 </w:t>
            </w:r>
            <w:r>
              <w:rPr>
                <w:rFonts w:ascii="仿宋" w:hAnsi="仿宋" w:eastAsia="仿宋"/>
                <w:color w:val="000000" w:themeColor="text1"/>
                <w:spacing w:val="-14"/>
                <w:sz w:val="24"/>
                <w:szCs w:val="24"/>
                <w14:textFill>
                  <w14:solidFill>
                    <w14:schemeClr w14:val="tx1"/>
                  </w14:solidFill>
                </w14:textFill>
              </w:rPr>
              <w:t>万</w:t>
            </w:r>
            <w:r>
              <w:rPr>
                <w:rFonts w:ascii="仿宋" w:hAnsi="仿宋" w:eastAsia="仿宋"/>
                <w:color w:val="000000" w:themeColor="text1"/>
                <w:sz w:val="24"/>
                <w:szCs w:val="24"/>
                <w14:textFill>
                  <w14:solidFill>
                    <w14:schemeClr w14:val="tx1"/>
                  </w14:solidFill>
                </w14:textFill>
              </w:rPr>
              <w:t>批次；或晋升周期内完成不少于</w:t>
            </w: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万批次</w:t>
            </w:r>
          </w:p>
        </w:tc>
        <w:tc>
          <w:tcPr>
            <w:tcW w:w="5470" w:type="dxa"/>
            <w:vAlign w:val="center"/>
          </w:tcPr>
          <w:p>
            <w:pPr>
              <w:pStyle w:val="13"/>
              <w:tabs>
                <w:tab w:val="left" w:pos="4180"/>
              </w:tabs>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完成药品</w:t>
            </w:r>
            <w:r>
              <w:rPr>
                <w:rFonts w:ascii="仿宋" w:hAnsi="仿宋" w:eastAsia="仿宋"/>
                <w:color w:val="000000" w:themeColor="text1"/>
                <w:sz w:val="24"/>
                <w:szCs w:val="24"/>
                <w14:textFill>
                  <w14:solidFill>
                    <w14:schemeClr w14:val="tx1"/>
                  </w14:solidFill>
                </w14:textFill>
              </w:rPr>
              <w:t>（</w:t>
            </w:r>
            <w:r>
              <w:rPr>
                <w:rFonts w:ascii="仿宋" w:hAnsi="仿宋" w:eastAsia="仿宋"/>
                <w:color w:val="000000" w:themeColor="text1"/>
                <w:spacing w:val="-4"/>
                <w:sz w:val="24"/>
                <w:szCs w:val="24"/>
                <w14:textFill>
                  <w14:solidFill>
                    <w14:schemeClr w14:val="tx1"/>
                  </w14:solidFill>
                </w14:textFill>
              </w:rPr>
              <w:t>含中药、西药</w:t>
            </w:r>
            <w:r>
              <w:rPr>
                <w:rFonts w:ascii="仿宋" w:hAnsi="仿宋" w:eastAsia="仿宋"/>
                <w:color w:val="000000" w:themeColor="text1"/>
                <w:spacing w:val="-17"/>
                <w:sz w:val="24"/>
                <w:szCs w:val="24"/>
                <w14:textFill>
                  <w14:solidFill>
                    <w14:schemeClr w14:val="tx1"/>
                  </w14:solidFill>
                </w14:textFill>
              </w:rPr>
              <w:t>）</w:t>
            </w:r>
            <w:r>
              <w:rPr>
                <w:rFonts w:ascii="仿宋" w:hAnsi="仿宋" w:eastAsia="仿宋"/>
                <w:color w:val="000000" w:themeColor="text1"/>
                <w:spacing w:val="-7"/>
                <w:sz w:val="24"/>
                <w:szCs w:val="24"/>
                <w14:textFill>
                  <w14:solidFill>
                    <w14:schemeClr w14:val="tx1"/>
                  </w14:solidFill>
                </w14:textFill>
              </w:rPr>
              <w:t xml:space="preserve">出入库年均不少于 </w:t>
            </w:r>
            <w:r>
              <w:rPr>
                <w:rFonts w:ascii="仿宋" w:hAnsi="仿宋" w:eastAsia="仿宋"/>
                <w:color w:val="000000" w:themeColor="text1"/>
                <w:sz w:val="24"/>
                <w:szCs w:val="24"/>
                <w14:textFill>
                  <w14:solidFill>
                    <w14:schemeClr w14:val="tx1"/>
                  </w14:solidFill>
                </w14:textFill>
              </w:rPr>
              <w:t>0.</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 xml:space="preserve"> </w:t>
            </w:r>
            <w:r>
              <w:rPr>
                <w:rFonts w:ascii="仿宋" w:hAnsi="仿宋" w:eastAsia="仿宋"/>
                <w:color w:val="000000" w:themeColor="text1"/>
                <w:spacing w:val="-7"/>
                <w:sz w:val="24"/>
                <w:szCs w:val="24"/>
                <w14:textFill>
                  <w14:solidFill>
                    <w14:schemeClr w14:val="tx1"/>
                  </w14:solidFill>
                </w14:textFill>
              </w:rPr>
              <w:t>万批</w:t>
            </w:r>
            <w:r>
              <w:rPr>
                <w:rFonts w:ascii="仿宋" w:hAnsi="仿宋" w:eastAsia="仿宋"/>
                <w:color w:val="000000" w:themeColor="text1"/>
                <w:sz w:val="24"/>
                <w:szCs w:val="24"/>
                <w14:textFill>
                  <w14:solidFill>
                    <w14:schemeClr w14:val="tx1"/>
                  </w14:solidFill>
                </w14:textFill>
              </w:rPr>
              <w:t xml:space="preserve">次；或晋升周期内完成不少于 </w:t>
            </w:r>
            <w:r>
              <w:rPr>
                <w:rFonts w:hint="eastAsia" w:ascii="仿宋" w:hAnsi="仿宋" w:eastAsia="仿宋"/>
                <w:color w:val="000000" w:themeColor="text1"/>
                <w:sz w:val="24"/>
                <w:szCs w:val="24"/>
                <w14:textFill>
                  <w14:solidFill>
                    <w14:schemeClr w14:val="tx1"/>
                  </w14:solidFill>
                </w14:textFill>
              </w:rPr>
              <w:t>1.8</w:t>
            </w:r>
            <w:r>
              <w:rPr>
                <w:rFonts w:ascii="仿宋" w:hAnsi="仿宋" w:eastAsia="仿宋"/>
                <w:color w:val="000000" w:themeColor="text1"/>
                <w:sz w:val="24"/>
                <w:szCs w:val="24"/>
                <w14:textFill>
                  <w14:solidFill>
                    <w14:schemeClr w14:val="tx1"/>
                  </w14:solidFill>
                </w14:textFill>
              </w:rPr>
              <w:t xml:space="preserve"> 万批次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2093" w:type="dxa"/>
            <w:vAlign w:val="center"/>
          </w:tcPr>
          <w:p>
            <w:pPr>
              <w:pStyle w:val="13"/>
              <w:spacing w:line="249" w:lineRule="auto"/>
              <w:ind w:right="22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膏方制备工作量</w:t>
            </w:r>
          </w:p>
        </w:tc>
        <w:tc>
          <w:tcPr>
            <w:tcW w:w="709" w:type="dxa"/>
            <w:vAlign w:val="center"/>
          </w:tcPr>
          <w:p>
            <w:pPr>
              <w:pStyle w:val="13"/>
              <w:spacing w:before="16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料（人次</w:t>
            </w:r>
          </w:p>
        </w:tc>
        <w:tc>
          <w:tcPr>
            <w:tcW w:w="5562" w:type="dxa"/>
            <w:vAlign w:val="center"/>
          </w:tcPr>
          <w:p>
            <w:pPr>
              <w:pStyle w:val="1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 xml:space="preserve">完成膏方制备年均不少于 </w:t>
            </w:r>
            <w:r>
              <w:rPr>
                <w:rFonts w:hint="eastAsia" w:ascii="仿宋" w:hAnsi="仿宋" w:eastAsia="仿宋"/>
                <w:color w:val="000000" w:themeColor="text1"/>
                <w:sz w:val="24"/>
                <w:szCs w:val="24"/>
                <w:lang w:val="en-US"/>
                <w14:textFill>
                  <w14:solidFill>
                    <w14:schemeClr w14:val="tx1"/>
                  </w14:solidFill>
                </w14:textFill>
              </w:rPr>
              <w:t>30</w:t>
            </w:r>
            <w:r>
              <w:rPr>
                <w:rFonts w:ascii="仿宋" w:hAnsi="仿宋" w:eastAsia="仿宋"/>
                <w:color w:val="000000" w:themeColor="text1"/>
                <w:sz w:val="24"/>
                <w:szCs w:val="24"/>
                <w14:textFill>
                  <w14:solidFill>
                    <w14:schemeClr w14:val="tx1"/>
                  </w14:solidFill>
                </w14:textFill>
              </w:rPr>
              <w:t xml:space="preserve"> 料（人次），</w:t>
            </w:r>
            <w:r>
              <w:rPr>
                <w:rFonts w:ascii="仿宋" w:hAnsi="仿宋" w:eastAsia="仿宋"/>
                <w:color w:val="000000" w:themeColor="text1"/>
                <w:spacing w:val="-3"/>
                <w:sz w:val="24"/>
                <w:szCs w:val="24"/>
                <w14:textFill>
                  <w14:solidFill>
                    <w14:schemeClr w14:val="tx1"/>
                  </w14:solidFill>
                </w14:textFill>
              </w:rPr>
              <w:t>或晋升周期</w:t>
            </w:r>
            <w:r>
              <w:rPr>
                <w:rFonts w:hint="eastAsia" w:ascii="仿宋" w:hAnsi="仿宋" w:eastAsia="仿宋"/>
                <w:color w:val="000000" w:themeColor="text1"/>
                <w:spacing w:val="-3"/>
                <w:sz w:val="24"/>
                <w:szCs w:val="24"/>
                <w:lang w:val="en-US"/>
                <w14:textFill>
                  <w14:solidFill>
                    <w14:schemeClr w14:val="tx1"/>
                  </w14:solidFill>
                </w14:textFill>
              </w:rPr>
              <w:t>内</w:t>
            </w:r>
            <w:r>
              <w:rPr>
                <w:rFonts w:ascii="仿宋" w:hAnsi="仿宋" w:eastAsia="仿宋"/>
                <w:color w:val="000000" w:themeColor="text1"/>
                <w:sz w:val="24"/>
                <w:szCs w:val="24"/>
                <w14:textFill>
                  <w14:solidFill>
                    <w14:schemeClr w14:val="tx1"/>
                  </w14:solidFill>
                </w14:textFill>
              </w:rPr>
              <w:t>完成不少于</w:t>
            </w:r>
            <w:r>
              <w:rPr>
                <w:rFonts w:hint="eastAsia" w:ascii="仿宋" w:hAnsi="仿宋" w:eastAsia="仿宋"/>
                <w:color w:val="000000" w:themeColor="text1"/>
                <w:sz w:val="24"/>
                <w:szCs w:val="24"/>
                <w14:textFill>
                  <w14:solidFill>
                    <w14:schemeClr w14:val="tx1"/>
                  </w14:solidFill>
                </w14:textFill>
              </w:rPr>
              <w:t>120</w:t>
            </w:r>
            <w:r>
              <w:rPr>
                <w:rFonts w:ascii="仿宋" w:hAnsi="仿宋" w:eastAsia="仿宋"/>
                <w:color w:val="000000" w:themeColor="text1"/>
                <w:sz w:val="24"/>
                <w:szCs w:val="24"/>
                <w14:textFill>
                  <w14:solidFill>
                    <w14:schemeClr w14:val="tx1"/>
                  </w14:solidFill>
                </w14:textFill>
              </w:rPr>
              <w:t xml:space="preserve"> 料（人次）</w:t>
            </w:r>
          </w:p>
        </w:tc>
        <w:tc>
          <w:tcPr>
            <w:tcW w:w="5470" w:type="dxa"/>
            <w:vAlign w:val="center"/>
          </w:tcPr>
          <w:p>
            <w:pPr>
              <w:pStyle w:val="1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 xml:space="preserve">完成膏方制备年均不少于 </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0 料（人次），</w:t>
            </w:r>
            <w:r>
              <w:rPr>
                <w:rFonts w:ascii="仿宋" w:hAnsi="仿宋" w:eastAsia="仿宋"/>
                <w:color w:val="000000" w:themeColor="text1"/>
                <w:spacing w:val="-3"/>
                <w:sz w:val="24"/>
                <w:szCs w:val="24"/>
                <w14:textFill>
                  <w14:solidFill>
                    <w14:schemeClr w14:val="tx1"/>
                  </w14:solidFill>
                </w14:textFill>
              </w:rPr>
              <w:t>或晋升周期</w:t>
            </w:r>
            <w:r>
              <w:rPr>
                <w:rFonts w:ascii="仿宋" w:hAnsi="仿宋" w:eastAsia="仿宋"/>
                <w:color w:val="000000" w:themeColor="text1"/>
                <w:sz w:val="24"/>
                <w:szCs w:val="24"/>
                <w14:textFill>
                  <w14:solidFill>
                    <w14:schemeClr w14:val="tx1"/>
                  </w14:solidFill>
                </w14:textFill>
              </w:rPr>
              <w:t xml:space="preserve">内完成不少于 </w:t>
            </w:r>
            <w:r>
              <w:rPr>
                <w:rFonts w:hint="eastAsia" w:ascii="仿宋" w:hAnsi="仿宋" w:eastAsia="仿宋"/>
                <w:color w:val="000000" w:themeColor="text1"/>
                <w:sz w:val="24"/>
                <w:szCs w:val="24"/>
                <w14:textFill>
                  <w14:solidFill>
                    <w14:schemeClr w14:val="tx1"/>
                  </w14:solidFill>
                </w14:textFill>
              </w:rPr>
              <w:t>1</w:t>
            </w:r>
            <w:r>
              <w:rPr>
                <w:rFonts w:ascii="仿宋" w:hAnsi="仿宋" w:eastAsia="仿宋"/>
                <w:color w:val="000000" w:themeColor="text1"/>
                <w:sz w:val="24"/>
                <w:szCs w:val="24"/>
                <w14:textFill>
                  <w14:solidFill>
                    <w14:schemeClr w14:val="tx1"/>
                  </w14:solidFill>
                </w14:textFill>
              </w:rPr>
              <w:t>00 料（人次）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3" w:hRule="atLeast"/>
          <w:jc w:val="center"/>
        </w:trPr>
        <w:tc>
          <w:tcPr>
            <w:tcW w:w="2093" w:type="dxa"/>
            <w:vAlign w:val="center"/>
          </w:tcPr>
          <w:p>
            <w:pPr>
              <w:pStyle w:val="13"/>
              <w:spacing w:before="155" w:line="249" w:lineRule="auto"/>
              <w:ind w:right="22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中药煎煮工作量</w:t>
            </w:r>
          </w:p>
        </w:tc>
        <w:tc>
          <w:tcPr>
            <w:tcW w:w="709"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剂</w:t>
            </w:r>
          </w:p>
        </w:tc>
        <w:tc>
          <w:tcPr>
            <w:tcW w:w="5562" w:type="dxa"/>
            <w:vAlign w:val="center"/>
          </w:tcPr>
          <w:p>
            <w:pPr>
              <w:pStyle w:val="13"/>
              <w:spacing w:before="155"/>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 xml:space="preserve">完成中药煎煮年均不少于 </w:t>
            </w:r>
            <w:r>
              <w:rPr>
                <w:rFonts w:ascii="仿宋" w:hAnsi="仿宋" w:eastAsia="仿宋"/>
                <w:color w:val="000000" w:themeColor="text1"/>
                <w:sz w:val="24"/>
                <w:szCs w:val="24"/>
                <w14:textFill>
                  <w14:solidFill>
                    <w14:schemeClr w14:val="tx1"/>
                  </w14:solidFill>
                </w14:textFill>
              </w:rPr>
              <w:t>0.</w:t>
            </w:r>
            <w:r>
              <w:rPr>
                <w:rFonts w:hint="eastAsia" w:ascii="仿宋" w:hAnsi="仿宋" w:eastAsia="仿宋"/>
                <w:color w:val="000000" w:themeColor="text1"/>
                <w:sz w:val="24"/>
                <w:szCs w:val="24"/>
                <w14:textFill>
                  <w14:solidFill>
                    <w14:schemeClr w14:val="tx1"/>
                  </w14:solidFill>
                </w14:textFill>
              </w:rPr>
              <w:t>15</w:t>
            </w:r>
            <w:r>
              <w:rPr>
                <w:rFonts w:ascii="仿宋" w:hAnsi="仿宋" w:eastAsia="仿宋"/>
                <w:color w:val="000000" w:themeColor="text1"/>
                <w:spacing w:val="-7"/>
                <w:sz w:val="24"/>
                <w:szCs w:val="24"/>
                <w14:textFill>
                  <w14:solidFill>
                    <w14:schemeClr w14:val="tx1"/>
                  </w14:solidFill>
                </w14:textFill>
              </w:rPr>
              <w:t>万剂；或晋升周期内完</w:t>
            </w:r>
            <w:r>
              <w:rPr>
                <w:rFonts w:ascii="仿宋" w:hAnsi="仿宋" w:eastAsia="仿宋"/>
                <w:color w:val="000000" w:themeColor="text1"/>
                <w:sz w:val="24"/>
                <w:szCs w:val="24"/>
                <w14:textFill>
                  <w14:solidFill>
                    <w14:schemeClr w14:val="tx1"/>
                  </w14:solidFill>
                </w14:textFill>
              </w:rPr>
              <w:t>成不少于</w:t>
            </w:r>
            <w:r>
              <w:rPr>
                <w:rFonts w:hint="eastAsia" w:ascii="仿宋" w:hAnsi="仿宋" w:eastAsia="仿宋"/>
                <w:color w:val="000000" w:themeColor="text1"/>
                <w:sz w:val="24"/>
                <w:szCs w:val="24"/>
                <w14:textFill>
                  <w14:solidFill>
                    <w14:schemeClr w14:val="tx1"/>
                  </w14:solidFill>
                </w14:textFill>
              </w:rPr>
              <w:t>0.8</w:t>
            </w:r>
            <w:r>
              <w:rPr>
                <w:rFonts w:ascii="仿宋" w:hAnsi="仿宋" w:eastAsia="仿宋"/>
                <w:color w:val="000000" w:themeColor="text1"/>
                <w:sz w:val="24"/>
                <w:szCs w:val="24"/>
                <w14:textFill>
                  <w14:solidFill>
                    <w14:schemeClr w14:val="tx1"/>
                  </w14:solidFill>
                </w14:textFill>
              </w:rPr>
              <w:t>万剂</w:t>
            </w:r>
          </w:p>
        </w:tc>
        <w:tc>
          <w:tcPr>
            <w:tcW w:w="5470" w:type="dxa"/>
            <w:vAlign w:val="center"/>
          </w:tcPr>
          <w:p>
            <w:pPr>
              <w:pStyle w:val="13"/>
              <w:spacing w:before="155"/>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完成中药煎煮年均不少于 0.</w:t>
            </w:r>
            <w:r>
              <w:rPr>
                <w:rFonts w:hint="eastAsia" w:ascii="仿宋" w:hAnsi="仿宋" w:eastAsia="仿宋"/>
                <w:color w:val="000000" w:themeColor="text1"/>
                <w:sz w:val="24"/>
                <w:szCs w:val="24"/>
                <w14:textFill>
                  <w14:solidFill>
                    <w14:schemeClr w14:val="tx1"/>
                  </w14:solidFill>
                </w14:textFill>
              </w:rPr>
              <w:t>12</w:t>
            </w:r>
            <w:r>
              <w:rPr>
                <w:rFonts w:ascii="仿宋" w:hAnsi="仿宋" w:eastAsia="仿宋"/>
                <w:color w:val="000000" w:themeColor="text1"/>
                <w:sz w:val="24"/>
                <w:szCs w:val="24"/>
                <w14:textFill>
                  <w14:solidFill>
                    <w14:schemeClr w14:val="tx1"/>
                  </w14:solidFill>
                </w14:textFill>
              </w:rPr>
              <w:t xml:space="preserve">万剂；或晋升周期内完成不少于 </w:t>
            </w:r>
            <w:r>
              <w:rPr>
                <w:rFonts w:hint="eastAsia" w:ascii="仿宋" w:hAnsi="仿宋" w:eastAsia="仿宋"/>
                <w:color w:val="000000" w:themeColor="text1"/>
                <w:sz w:val="24"/>
                <w:szCs w:val="24"/>
                <w14:textFill>
                  <w14:solidFill>
                    <w14:schemeClr w14:val="tx1"/>
                  </w14:solidFill>
                </w14:textFill>
              </w:rPr>
              <w:t>0.6</w:t>
            </w:r>
            <w:r>
              <w:rPr>
                <w:rFonts w:ascii="仿宋" w:hAnsi="仿宋" w:eastAsia="仿宋"/>
                <w:color w:val="000000" w:themeColor="text1"/>
                <w:sz w:val="24"/>
                <w:szCs w:val="24"/>
                <w14:textFill>
                  <w14:solidFill>
                    <w14:schemeClr w14:val="tx1"/>
                  </w14:solidFill>
                </w14:textFill>
              </w:rPr>
              <w:t xml:space="preserve"> 万剂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093" w:type="dxa"/>
            <w:vAlign w:val="center"/>
          </w:tcPr>
          <w:p>
            <w:pPr>
              <w:pStyle w:val="13"/>
              <w:spacing w:line="249"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中药</w:t>
            </w:r>
            <w:r>
              <w:rPr>
                <w:rFonts w:hint="eastAsia" w:ascii="仿宋" w:hAnsi="仿宋" w:eastAsia="仿宋"/>
                <w:color w:val="000000" w:themeColor="text1"/>
                <w:sz w:val="24"/>
                <w:szCs w:val="24"/>
                <w14:textFill>
                  <w14:solidFill>
                    <w14:schemeClr w14:val="tx1"/>
                  </w14:solidFill>
                </w14:textFill>
              </w:rPr>
              <w:t>采购</w:t>
            </w:r>
            <w:r>
              <w:rPr>
                <w:rFonts w:hint="eastAsia" w:ascii="仿宋" w:hAnsi="仿宋" w:eastAsia="仿宋"/>
                <w:b/>
                <w:bCs/>
                <w:color w:val="000000" w:themeColor="text1"/>
                <w:sz w:val="24"/>
                <w:szCs w:val="24"/>
                <w14:textFill>
                  <w14:solidFill>
                    <w14:schemeClr w14:val="tx1"/>
                  </w14:solidFill>
                </w14:textFill>
              </w:rPr>
              <w:t>、</w:t>
            </w:r>
            <w:r>
              <w:rPr>
                <w:rFonts w:ascii="仿宋" w:hAnsi="仿宋" w:eastAsia="仿宋"/>
                <w:color w:val="000000" w:themeColor="text1"/>
                <w:sz w:val="24"/>
                <w:szCs w:val="24"/>
                <w14:textFill>
                  <w14:solidFill>
                    <w14:schemeClr w14:val="tx1"/>
                  </w14:solidFill>
                </w14:textFill>
              </w:rPr>
              <w:t>验收养护工作量</w:t>
            </w:r>
          </w:p>
        </w:tc>
        <w:tc>
          <w:tcPr>
            <w:tcW w:w="709"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批次</w:t>
            </w:r>
          </w:p>
        </w:tc>
        <w:tc>
          <w:tcPr>
            <w:tcW w:w="5562" w:type="dxa"/>
            <w:vAlign w:val="center"/>
          </w:tcPr>
          <w:p>
            <w:pPr>
              <w:pStyle w:val="1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0"/>
                <w:sz w:val="24"/>
                <w:szCs w:val="24"/>
                <w14:textFill>
                  <w14:solidFill>
                    <w14:schemeClr w14:val="tx1"/>
                  </w14:solidFill>
                </w14:textFill>
              </w:rPr>
              <w:t>完成中药</w:t>
            </w:r>
            <w:r>
              <w:rPr>
                <w:rFonts w:hint="eastAsia" w:ascii="仿宋" w:hAnsi="仿宋" w:eastAsia="仿宋"/>
                <w:color w:val="000000" w:themeColor="text1"/>
                <w:spacing w:val="-10"/>
                <w:sz w:val="24"/>
                <w:szCs w:val="24"/>
                <w14:textFill>
                  <w14:solidFill>
                    <w14:schemeClr w14:val="tx1"/>
                  </w14:solidFill>
                </w14:textFill>
              </w:rPr>
              <w:t>采购、</w:t>
            </w:r>
            <w:r>
              <w:rPr>
                <w:rFonts w:ascii="仿宋" w:hAnsi="仿宋" w:eastAsia="仿宋"/>
                <w:color w:val="000000" w:themeColor="text1"/>
                <w:spacing w:val="-10"/>
                <w:sz w:val="24"/>
                <w:szCs w:val="24"/>
                <w14:textFill>
                  <w14:solidFill>
                    <w14:schemeClr w14:val="tx1"/>
                  </w14:solidFill>
                </w14:textFill>
              </w:rPr>
              <w:t xml:space="preserve">验收鉴定、养护年均不少于 </w:t>
            </w:r>
            <w:r>
              <w:rPr>
                <w:rFonts w:hint="eastAsia" w:ascii="仿宋" w:hAnsi="仿宋" w:eastAsia="仿宋"/>
                <w:color w:val="000000" w:themeColor="text1"/>
                <w:spacing w:val="-10"/>
                <w:sz w:val="24"/>
                <w:szCs w:val="24"/>
                <w:lang w:val="en-US"/>
                <w14:textFill>
                  <w14:solidFill>
                    <w14:schemeClr w14:val="tx1"/>
                  </w14:solidFill>
                </w14:textFill>
              </w:rPr>
              <w:t>25</w:t>
            </w:r>
            <w:r>
              <w:rPr>
                <w:rFonts w:ascii="仿宋" w:hAnsi="仿宋" w:eastAsia="仿宋"/>
                <w:color w:val="000000" w:themeColor="text1"/>
                <w:spacing w:val="-10"/>
                <w:sz w:val="24"/>
                <w:szCs w:val="24"/>
                <w14:textFill>
                  <w14:solidFill>
                    <w14:schemeClr w14:val="tx1"/>
                  </w14:solidFill>
                </w14:textFill>
              </w:rPr>
              <w:t xml:space="preserve"> 批次；或晋升周期内完成不少于</w:t>
            </w:r>
            <w:r>
              <w:rPr>
                <w:rFonts w:hint="eastAsia" w:ascii="仿宋" w:hAnsi="仿宋" w:eastAsia="仿宋"/>
                <w:color w:val="000000" w:themeColor="text1"/>
                <w:spacing w:val="-10"/>
                <w:sz w:val="24"/>
                <w:szCs w:val="24"/>
                <w:lang w:val="en-US"/>
                <w14:textFill>
                  <w14:solidFill>
                    <w14:schemeClr w14:val="tx1"/>
                  </w14:solidFill>
                </w14:textFill>
              </w:rPr>
              <w:t>250</w:t>
            </w:r>
            <w:r>
              <w:rPr>
                <w:rFonts w:ascii="仿宋" w:hAnsi="仿宋" w:eastAsia="仿宋"/>
                <w:color w:val="000000" w:themeColor="text1"/>
                <w:spacing w:val="-10"/>
                <w:sz w:val="24"/>
                <w:szCs w:val="24"/>
                <w14:textFill>
                  <w14:solidFill>
                    <w14:schemeClr w14:val="tx1"/>
                  </w14:solidFill>
                </w14:textFill>
              </w:rPr>
              <w:t>批次</w:t>
            </w:r>
          </w:p>
        </w:tc>
        <w:tc>
          <w:tcPr>
            <w:tcW w:w="5470" w:type="dxa"/>
            <w:vAlign w:val="center"/>
          </w:tcPr>
          <w:p>
            <w:pPr>
              <w:pStyle w:val="1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0"/>
                <w:sz w:val="24"/>
                <w:szCs w:val="24"/>
                <w14:textFill>
                  <w14:solidFill>
                    <w14:schemeClr w14:val="tx1"/>
                  </w14:solidFill>
                </w14:textFill>
              </w:rPr>
              <w:t xml:space="preserve">完成中药验收鉴定、养护年均不少于 </w:t>
            </w:r>
            <w:r>
              <w:rPr>
                <w:rFonts w:hint="eastAsia" w:ascii="仿宋" w:hAnsi="仿宋" w:eastAsia="仿宋"/>
                <w:color w:val="000000" w:themeColor="text1"/>
                <w:spacing w:val="-10"/>
                <w:sz w:val="24"/>
                <w:szCs w:val="24"/>
                <w14:textFill>
                  <w14:solidFill>
                    <w14:schemeClr w14:val="tx1"/>
                  </w14:solidFill>
                </w14:textFill>
              </w:rPr>
              <w:t>2</w:t>
            </w:r>
            <w:r>
              <w:rPr>
                <w:rFonts w:ascii="仿宋" w:hAnsi="仿宋" w:eastAsia="仿宋"/>
                <w:color w:val="000000" w:themeColor="text1"/>
                <w:spacing w:val="-10"/>
                <w:sz w:val="24"/>
                <w:szCs w:val="24"/>
                <w14:textFill>
                  <w14:solidFill>
                    <w14:schemeClr w14:val="tx1"/>
                  </w14:solidFill>
                </w14:textFill>
              </w:rPr>
              <w:t xml:space="preserve">0批次；或晋升周期内完成不少于 </w:t>
            </w:r>
            <w:r>
              <w:rPr>
                <w:rFonts w:hint="eastAsia" w:ascii="仿宋" w:hAnsi="仿宋" w:eastAsia="仿宋"/>
                <w:color w:val="000000" w:themeColor="text1"/>
                <w:spacing w:val="-10"/>
                <w:sz w:val="24"/>
                <w:szCs w:val="24"/>
                <w14:textFill>
                  <w14:solidFill>
                    <w14:schemeClr w14:val="tx1"/>
                  </w14:solidFill>
                </w14:textFill>
              </w:rPr>
              <w:t>1</w:t>
            </w:r>
            <w:r>
              <w:rPr>
                <w:rFonts w:ascii="仿宋" w:hAnsi="仿宋" w:eastAsia="仿宋"/>
                <w:color w:val="000000" w:themeColor="text1"/>
                <w:spacing w:val="-10"/>
                <w:sz w:val="24"/>
                <w:szCs w:val="24"/>
                <w14:textFill>
                  <w14:solidFill>
                    <w14:schemeClr w14:val="tx1"/>
                  </w14:solidFill>
                </w14:textFill>
              </w:rPr>
              <w:t>00 批次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2" w:hRule="atLeast"/>
          <w:jc w:val="center"/>
        </w:trPr>
        <w:tc>
          <w:tcPr>
            <w:tcW w:w="2093" w:type="dxa"/>
            <w:vAlign w:val="center"/>
          </w:tcPr>
          <w:p>
            <w:pPr>
              <w:pStyle w:val="13"/>
              <w:spacing w:before="1" w:line="249"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中药临床药学工作量</w:t>
            </w:r>
          </w:p>
        </w:tc>
        <w:tc>
          <w:tcPr>
            <w:tcW w:w="709" w:type="dxa"/>
            <w:vAlign w:val="center"/>
          </w:tcPr>
          <w:p>
            <w:pPr>
              <w:pStyle w:val="13"/>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例次</w:t>
            </w:r>
          </w:p>
        </w:tc>
        <w:tc>
          <w:tcPr>
            <w:tcW w:w="5562" w:type="dxa"/>
            <w:vAlign w:val="center"/>
          </w:tcPr>
          <w:p>
            <w:pPr>
              <w:pStyle w:val="13"/>
              <w:spacing w:before="87" w:line="249"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每年参与临床治疗工作不少于</w:t>
            </w:r>
            <w:r>
              <w:rPr>
                <w:rFonts w:hint="eastAsia" w:ascii="仿宋" w:hAnsi="仿宋" w:eastAsia="仿宋"/>
                <w:color w:val="000000" w:themeColor="text1"/>
                <w:sz w:val="24"/>
                <w:szCs w:val="24"/>
                <w14:textFill>
                  <w14:solidFill>
                    <w14:schemeClr w14:val="tx1"/>
                  </w14:solidFill>
                </w14:textFill>
              </w:rPr>
              <w:t>25</w:t>
            </w:r>
            <w:r>
              <w:rPr>
                <w:rFonts w:ascii="仿宋" w:hAnsi="仿宋" w:eastAsia="仿宋"/>
                <w:color w:val="000000" w:themeColor="text1"/>
                <w:sz w:val="24"/>
                <w:szCs w:val="24"/>
                <w14:textFill>
                  <w14:solidFill>
                    <w14:schemeClr w14:val="tx1"/>
                  </w14:solidFill>
                </w14:textFill>
              </w:rPr>
              <w:t>例次（</w:t>
            </w:r>
            <w:r>
              <w:rPr>
                <w:rFonts w:ascii="仿宋" w:hAnsi="仿宋" w:eastAsia="仿宋"/>
                <w:color w:val="000000" w:themeColor="text1"/>
                <w:spacing w:val="-3"/>
                <w:sz w:val="24"/>
                <w:szCs w:val="24"/>
                <w14:textFill>
                  <w14:solidFill>
                    <w14:schemeClr w14:val="tx1"/>
                  </w14:solidFill>
                </w14:textFill>
              </w:rPr>
              <w:t>包括中药咨</w:t>
            </w:r>
            <w:r>
              <w:rPr>
                <w:rFonts w:ascii="仿宋" w:hAnsi="仿宋" w:eastAsia="仿宋"/>
                <w:color w:val="000000" w:themeColor="text1"/>
                <w:spacing w:val="-17"/>
                <w:sz w:val="24"/>
                <w:szCs w:val="24"/>
                <w14:textFill>
                  <w14:solidFill>
                    <w14:schemeClr w14:val="tx1"/>
                  </w14:solidFill>
                </w14:textFill>
              </w:rPr>
              <w:t>询、药学查房、疑难病例讨论、会诊、患者用药教育</w:t>
            </w:r>
            <w:r>
              <w:rPr>
                <w:rFonts w:ascii="仿宋" w:hAnsi="仿宋" w:eastAsia="仿宋"/>
                <w:color w:val="000000" w:themeColor="text1"/>
                <w:spacing w:val="-15"/>
                <w:sz w:val="24"/>
                <w:szCs w:val="24"/>
                <w14:textFill>
                  <w14:solidFill>
                    <w14:schemeClr w14:val="tx1"/>
                  </w14:solidFill>
                </w14:textFill>
              </w:rPr>
              <w:t>合理用药分析、药品不良反应上报、药学门诊、治疗</w:t>
            </w:r>
            <w:r>
              <w:rPr>
                <w:rFonts w:ascii="仿宋" w:hAnsi="仿宋" w:eastAsia="仿宋"/>
                <w:color w:val="000000" w:themeColor="text1"/>
                <w:spacing w:val="-12"/>
                <w:sz w:val="24"/>
                <w:szCs w:val="24"/>
                <w14:textFill>
                  <w14:solidFill>
                    <w14:schemeClr w14:val="tx1"/>
                  </w14:solidFill>
                </w14:textFill>
              </w:rPr>
              <w:t xml:space="preserve">药物监测 </w:t>
            </w:r>
            <w:r>
              <w:rPr>
                <w:rFonts w:ascii="仿宋" w:hAnsi="仿宋" w:eastAsia="仿宋"/>
                <w:color w:val="000000" w:themeColor="text1"/>
                <w:sz w:val="24"/>
                <w:szCs w:val="24"/>
                <w14:textFill>
                  <w14:solidFill>
                    <w14:schemeClr w14:val="tx1"/>
                  </w14:solidFill>
                </w14:textFill>
              </w:rPr>
              <w:t>TDM 或基因检测等</w:t>
            </w:r>
            <w:r>
              <w:rPr>
                <w:rFonts w:ascii="仿宋" w:hAnsi="仿宋" w:eastAsia="仿宋"/>
                <w:color w:val="000000" w:themeColor="text1"/>
                <w:spacing w:val="-14"/>
                <w:sz w:val="24"/>
                <w:szCs w:val="24"/>
                <w14:textFill>
                  <w14:solidFill>
                    <w14:schemeClr w14:val="tx1"/>
                  </w14:solidFill>
                </w14:textFill>
              </w:rPr>
              <w:t>）</w:t>
            </w:r>
            <w:r>
              <w:rPr>
                <w:rFonts w:ascii="仿宋" w:hAnsi="仿宋" w:eastAsia="仿宋"/>
                <w:color w:val="000000" w:themeColor="text1"/>
                <w:spacing w:val="-6"/>
                <w:sz w:val="24"/>
                <w:szCs w:val="24"/>
                <w14:textFill>
                  <w14:solidFill>
                    <w14:schemeClr w14:val="tx1"/>
                  </w14:solidFill>
                </w14:textFill>
              </w:rPr>
              <w:t>；或晋升周期内完成</w:t>
            </w:r>
            <w:r>
              <w:rPr>
                <w:rFonts w:ascii="仿宋" w:hAnsi="仿宋" w:eastAsia="仿宋"/>
                <w:color w:val="000000" w:themeColor="text1"/>
                <w:spacing w:val="-15"/>
                <w:sz w:val="24"/>
                <w:szCs w:val="24"/>
                <w14:textFill>
                  <w14:solidFill>
                    <w14:schemeClr w14:val="tx1"/>
                  </w14:solidFill>
                </w14:textFill>
              </w:rPr>
              <w:t xml:space="preserve">不少于 </w:t>
            </w:r>
            <w:r>
              <w:rPr>
                <w:rFonts w:hint="eastAsia" w:ascii="仿宋" w:hAnsi="仿宋" w:eastAsia="仿宋"/>
                <w:color w:val="000000" w:themeColor="text1"/>
                <w:sz w:val="24"/>
                <w:szCs w:val="24"/>
                <w14:textFill>
                  <w14:solidFill>
                    <w14:schemeClr w14:val="tx1"/>
                  </w14:solidFill>
                </w14:textFill>
              </w:rPr>
              <w:t>120</w:t>
            </w:r>
            <w:r>
              <w:rPr>
                <w:rFonts w:ascii="仿宋" w:hAnsi="仿宋" w:eastAsia="仿宋"/>
                <w:color w:val="000000" w:themeColor="text1"/>
                <w:sz w:val="24"/>
                <w:szCs w:val="24"/>
                <w14:textFill>
                  <w14:solidFill>
                    <w14:schemeClr w14:val="tx1"/>
                  </w14:solidFill>
                </w14:textFill>
              </w:rPr>
              <w:t>例次</w:t>
            </w:r>
          </w:p>
        </w:tc>
        <w:tc>
          <w:tcPr>
            <w:tcW w:w="5470" w:type="dxa"/>
            <w:vAlign w:val="center"/>
          </w:tcPr>
          <w:p>
            <w:pPr>
              <w:pStyle w:val="13"/>
              <w:spacing w:before="87"/>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5"/>
                <w:sz w:val="24"/>
                <w:szCs w:val="24"/>
                <w14:textFill>
                  <w14:solidFill>
                    <w14:schemeClr w14:val="tx1"/>
                  </w14:solidFill>
                </w14:textFill>
              </w:rPr>
              <w:t xml:space="preserve">每年参与临床治疗工作不少于 </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 xml:space="preserve">0 </w:t>
            </w:r>
            <w:r>
              <w:rPr>
                <w:rFonts w:ascii="仿宋" w:hAnsi="仿宋" w:eastAsia="仿宋"/>
                <w:color w:val="000000" w:themeColor="text1"/>
                <w:spacing w:val="-54"/>
                <w:sz w:val="24"/>
                <w:szCs w:val="24"/>
                <w14:textFill>
                  <w14:solidFill>
                    <w14:schemeClr w14:val="tx1"/>
                  </w14:solidFill>
                </w14:textFill>
              </w:rPr>
              <w:t>例次</w:t>
            </w:r>
            <w:r>
              <w:rPr>
                <w:rFonts w:ascii="仿宋" w:hAnsi="仿宋" w:eastAsia="仿宋"/>
                <w:color w:val="000000" w:themeColor="text1"/>
                <w:sz w:val="24"/>
                <w:szCs w:val="24"/>
                <w14:textFill>
                  <w14:solidFill>
                    <w14:schemeClr w14:val="tx1"/>
                  </w14:solidFill>
                </w14:textFill>
              </w:rPr>
              <w:t>（包括中药咨询</w:t>
            </w:r>
            <w:r>
              <w:rPr>
                <w:rFonts w:ascii="仿宋" w:hAnsi="仿宋" w:eastAsia="仿宋"/>
                <w:color w:val="000000" w:themeColor="text1"/>
                <w:spacing w:val="-14"/>
                <w:sz w:val="24"/>
                <w:szCs w:val="24"/>
                <w14:textFill>
                  <w14:solidFill>
                    <w14:schemeClr w14:val="tx1"/>
                  </w14:solidFill>
                </w14:textFill>
              </w:rPr>
              <w:t>、 药学查房、疑难病例讨论、会诊、患者用药教育、合理</w:t>
            </w:r>
            <w:r>
              <w:rPr>
                <w:rFonts w:ascii="仿宋" w:hAnsi="仿宋" w:eastAsia="仿宋"/>
                <w:color w:val="000000" w:themeColor="text1"/>
                <w:spacing w:val="-12"/>
                <w:sz w:val="24"/>
                <w:szCs w:val="24"/>
                <w14:textFill>
                  <w14:solidFill>
                    <w14:schemeClr w14:val="tx1"/>
                  </w14:solidFill>
                </w14:textFill>
              </w:rPr>
              <w:t>用药分析、药品不良反应上报、药学门诊、治疗药物监</w:t>
            </w:r>
            <w:r>
              <w:rPr>
                <w:rFonts w:ascii="仿宋" w:hAnsi="仿宋" w:eastAsia="仿宋"/>
                <w:color w:val="000000" w:themeColor="text1"/>
                <w:spacing w:val="-30"/>
                <w:sz w:val="24"/>
                <w:szCs w:val="24"/>
                <w14:textFill>
                  <w14:solidFill>
                    <w14:schemeClr w14:val="tx1"/>
                  </w14:solidFill>
                </w14:textFill>
              </w:rPr>
              <w:t xml:space="preserve">测 </w:t>
            </w:r>
            <w:r>
              <w:rPr>
                <w:rFonts w:ascii="仿宋" w:hAnsi="仿宋" w:eastAsia="仿宋"/>
                <w:color w:val="000000" w:themeColor="text1"/>
                <w:sz w:val="24"/>
                <w:szCs w:val="24"/>
                <w14:textFill>
                  <w14:solidFill>
                    <w14:schemeClr w14:val="tx1"/>
                  </w14:solidFill>
                </w14:textFill>
              </w:rPr>
              <w:t>TDM 或基因检测等</w:t>
            </w:r>
            <w:r>
              <w:rPr>
                <w:rFonts w:ascii="仿宋" w:hAnsi="仿宋" w:eastAsia="仿宋"/>
                <w:color w:val="000000" w:themeColor="text1"/>
                <w:spacing w:val="-112"/>
                <w:sz w:val="24"/>
                <w:szCs w:val="24"/>
                <w14:textFill>
                  <w14:solidFill>
                    <w14:schemeClr w14:val="tx1"/>
                  </w14:solidFill>
                </w14:textFill>
              </w:rPr>
              <w:t>）</w:t>
            </w:r>
            <w:r>
              <w:rPr>
                <w:rFonts w:ascii="仿宋" w:hAnsi="仿宋" w:eastAsia="仿宋"/>
                <w:color w:val="000000" w:themeColor="text1"/>
                <w:spacing w:val="-16"/>
                <w:sz w:val="24"/>
                <w:szCs w:val="24"/>
                <w14:textFill>
                  <w14:solidFill>
                    <w14:schemeClr w14:val="tx1"/>
                  </w14:solidFill>
                </w14:textFill>
              </w:rPr>
              <w:t xml:space="preserve">；或晋升周期内完成不少于 </w:t>
            </w:r>
            <w:r>
              <w:rPr>
                <w:rFonts w:hint="eastAsia" w:ascii="仿宋" w:hAnsi="仿宋" w:eastAsia="仿宋"/>
                <w:color w:val="000000" w:themeColor="text1"/>
                <w:spacing w:val="-5"/>
                <w:sz w:val="24"/>
                <w:szCs w:val="24"/>
                <w14:textFill>
                  <w14:solidFill>
                    <w14:schemeClr w14:val="tx1"/>
                  </w14:solidFill>
                </w14:textFill>
              </w:rPr>
              <w:t>1</w:t>
            </w:r>
            <w:r>
              <w:rPr>
                <w:rFonts w:ascii="仿宋" w:hAnsi="仿宋" w:eastAsia="仿宋"/>
                <w:color w:val="000000" w:themeColor="text1"/>
                <w:spacing w:val="-5"/>
                <w:sz w:val="24"/>
                <w:szCs w:val="24"/>
                <w14:textFill>
                  <w14:solidFill>
                    <w14:schemeClr w14:val="tx1"/>
                  </w14:solidFill>
                </w14:textFill>
              </w:rPr>
              <w:t xml:space="preserve">00 </w:t>
            </w:r>
            <w:r>
              <w:rPr>
                <w:rFonts w:ascii="仿宋" w:hAnsi="仿宋" w:eastAsia="仿宋"/>
                <w:color w:val="000000" w:themeColor="text1"/>
                <w:sz w:val="24"/>
                <w:szCs w:val="24"/>
                <w14:textFill>
                  <w14:solidFill>
                    <w14:schemeClr w14:val="tx1"/>
                  </w14:solidFill>
                </w14:textFill>
              </w:rPr>
              <w:t>例次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4" w:hRule="atLeast"/>
          <w:jc w:val="center"/>
        </w:trPr>
        <w:tc>
          <w:tcPr>
            <w:tcW w:w="2093" w:type="dxa"/>
            <w:vAlign w:val="center"/>
          </w:tcPr>
          <w:p>
            <w:pPr>
              <w:pStyle w:val="13"/>
              <w:spacing w:before="1"/>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中药处方（医嘱</w:t>
            </w:r>
            <w:r>
              <w:rPr>
                <w:rFonts w:ascii="仿宋" w:hAnsi="仿宋" w:eastAsia="仿宋"/>
                <w:color w:val="000000" w:themeColor="text1"/>
                <w:spacing w:val="-32"/>
                <w:sz w:val="24"/>
                <w:szCs w:val="24"/>
                <w14:textFill>
                  <w14:solidFill>
                    <w14:schemeClr w14:val="tx1"/>
                  </w14:solidFill>
                </w14:textFill>
              </w:rPr>
              <w:t>）</w:t>
            </w:r>
            <w:r>
              <w:rPr>
                <w:rFonts w:ascii="仿宋" w:hAnsi="仿宋" w:eastAsia="仿宋"/>
                <w:color w:val="000000" w:themeColor="text1"/>
                <w:spacing w:val="-9"/>
                <w:sz w:val="24"/>
                <w:szCs w:val="24"/>
                <w14:textFill>
                  <w14:solidFill>
                    <w14:schemeClr w14:val="tx1"/>
                  </w14:solidFill>
                </w14:textFill>
              </w:rPr>
              <w:t>点评</w:t>
            </w:r>
            <w:r>
              <w:rPr>
                <w:rFonts w:ascii="仿宋" w:hAnsi="仿宋" w:eastAsia="仿宋"/>
                <w:color w:val="000000" w:themeColor="text1"/>
                <w:sz w:val="24"/>
                <w:szCs w:val="24"/>
                <w14:textFill>
                  <w14:solidFill>
                    <w14:schemeClr w14:val="tx1"/>
                  </w14:solidFill>
                </w14:textFill>
              </w:rPr>
              <w:t>工作量</w:t>
            </w:r>
          </w:p>
        </w:tc>
        <w:tc>
          <w:tcPr>
            <w:tcW w:w="709" w:type="dxa"/>
            <w:vAlign w:val="center"/>
          </w:tcPr>
          <w:p>
            <w:pPr>
              <w:pStyle w:val="13"/>
              <w:spacing w:before="1"/>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张（份）</w:t>
            </w:r>
          </w:p>
        </w:tc>
        <w:tc>
          <w:tcPr>
            <w:tcW w:w="5562" w:type="dxa"/>
            <w:vAlign w:val="center"/>
          </w:tcPr>
          <w:p>
            <w:pPr>
              <w:pStyle w:val="13"/>
              <w:spacing w:before="1"/>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4"/>
                <w:sz w:val="24"/>
                <w:szCs w:val="24"/>
                <w14:textFill>
                  <w14:solidFill>
                    <w14:schemeClr w14:val="tx1"/>
                  </w14:solidFill>
                </w14:textFill>
              </w:rPr>
              <w:t xml:space="preserve">门急诊中药处方点评每年不少于 </w:t>
            </w:r>
            <w:r>
              <w:rPr>
                <w:rFonts w:hint="eastAsia" w:ascii="仿宋" w:hAnsi="仿宋" w:eastAsia="仿宋"/>
                <w:color w:val="000000" w:themeColor="text1"/>
                <w:sz w:val="24"/>
                <w:szCs w:val="24"/>
                <w14:textFill>
                  <w14:solidFill>
                    <w14:schemeClr w14:val="tx1"/>
                  </w14:solidFill>
                </w14:textFill>
              </w:rPr>
              <w:t>500</w:t>
            </w:r>
            <w:r>
              <w:rPr>
                <w:rFonts w:ascii="仿宋" w:hAnsi="仿宋" w:eastAsia="仿宋"/>
                <w:color w:val="000000" w:themeColor="text1"/>
                <w:spacing w:val="-2"/>
                <w:sz w:val="24"/>
                <w:szCs w:val="24"/>
                <w14:textFill>
                  <w14:solidFill>
                    <w14:schemeClr w14:val="tx1"/>
                  </w14:solidFill>
                </w14:textFill>
              </w:rPr>
              <w:t>张或中药医嘱</w:t>
            </w:r>
            <w:r>
              <w:rPr>
                <w:rFonts w:ascii="仿宋" w:hAnsi="仿宋" w:eastAsia="仿宋"/>
                <w:color w:val="000000" w:themeColor="text1"/>
                <w:spacing w:val="-8"/>
                <w:sz w:val="24"/>
                <w:szCs w:val="24"/>
                <w14:textFill>
                  <w14:solidFill>
                    <w14:schemeClr w14:val="tx1"/>
                  </w14:solidFill>
                </w14:textFill>
              </w:rPr>
              <w:t xml:space="preserve">点评每年不少于 </w:t>
            </w:r>
            <w:r>
              <w:rPr>
                <w:rFonts w:ascii="仿宋" w:hAnsi="仿宋" w:eastAsia="仿宋"/>
                <w:color w:val="000000" w:themeColor="text1"/>
                <w:sz w:val="24"/>
                <w:szCs w:val="24"/>
                <w14:textFill>
                  <w14:solidFill>
                    <w14:schemeClr w14:val="tx1"/>
                  </w14:solidFill>
                </w14:textFill>
              </w:rPr>
              <w:t>1</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 xml:space="preserve">0 </w:t>
            </w:r>
            <w:r>
              <w:rPr>
                <w:rFonts w:ascii="仿宋" w:hAnsi="仿宋" w:eastAsia="仿宋"/>
                <w:color w:val="000000" w:themeColor="text1"/>
                <w:spacing w:val="-11"/>
                <w:sz w:val="24"/>
                <w:szCs w:val="24"/>
                <w14:textFill>
                  <w14:solidFill>
                    <w14:schemeClr w14:val="tx1"/>
                  </w14:solidFill>
                </w14:textFill>
              </w:rPr>
              <w:t>份病历；或晋升周期内点评不少</w:t>
            </w:r>
            <w:r>
              <w:rPr>
                <w:rFonts w:ascii="仿宋" w:hAnsi="仿宋" w:eastAsia="仿宋"/>
                <w:color w:val="000000" w:themeColor="text1"/>
                <w:sz w:val="24"/>
                <w:szCs w:val="24"/>
                <w14:textFill>
                  <w14:solidFill>
                    <w14:schemeClr w14:val="tx1"/>
                  </w14:solidFill>
                </w14:textFill>
              </w:rPr>
              <w:t>于 0.</w:t>
            </w:r>
            <w:r>
              <w:rPr>
                <w:rFonts w:hint="eastAsia" w:ascii="仿宋" w:hAnsi="仿宋" w:eastAsia="仿宋"/>
                <w:color w:val="000000" w:themeColor="text1"/>
                <w:sz w:val="24"/>
                <w:szCs w:val="24"/>
                <w14:textFill>
                  <w14:solidFill>
                    <w14:schemeClr w14:val="tx1"/>
                  </w14:solidFill>
                </w14:textFill>
              </w:rPr>
              <w:t>3</w:t>
            </w:r>
            <w:r>
              <w:rPr>
                <w:rFonts w:ascii="仿宋" w:hAnsi="仿宋" w:eastAsia="仿宋"/>
                <w:color w:val="000000" w:themeColor="text1"/>
                <w:sz w:val="24"/>
                <w:szCs w:val="24"/>
                <w14:textFill>
                  <w14:solidFill>
                    <w14:schemeClr w14:val="tx1"/>
                  </w14:solidFill>
                </w14:textFill>
              </w:rPr>
              <w:t xml:space="preserve">万张中药处方或 </w:t>
            </w:r>
            <w:r>
              <w:rPr>
                <w:rFonts w:hint="eastAsia" w:ascii="仿宋" w:hAnsi="仿宋" w:eastAsia="仿宋"/>
                <w:color w:val="000000" w:themeColor="text1"/>
                <w:sz w:val="24"/>
                <w:szCs w:val="24"/>
                <w14:textFill>
                  <w14:solidFill>
                    <w14:schemeClr w14:val="tx1"/>
                  </w14:solidFill>
                </w14:textFill>
              </w:rPr>
              <w:t>3</w:t>
            </w:r>
            <w:r>
              <w:rPr>
                <w:rFonts w:ascii="仿宋" w:hAnsi="仿宋" w:eastAsia="仿宋"/>
                <w:color w:val="000000" w:themeColor="text1"/>
                <w:sz w:val="24"/>
                <w:szCs w:val="24"/>
                <w14:textFill>
                  <w14:solidFill>
                    <w14:schemeClr w14:val="tx1"/>
                  </w14:solidFill>
                </w14:textFill>
              </w:rPr>
              <w:t>50 份中药医嘱</w:t>
            </w:r>
          </w:p>
        </w:tc>
        <w:tc>
          <w:tcPr>
            <w:tcW w:w="5470" w:type="dxa"/>
            <w:vAlign w:val="center"/>
          </w:tcPr>
          <w:p>
            <w:pPr>
              <w:pStyle w:val="13"/>
              <w:spacing w:before="1"/>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pacing w:val="-1"/>
                <w:sz w:val="24"/>
                <w:szCs w:val="24"/>
                <w14:textFill>
                  <w14:solidFill>
                    <w14:schemeClr w14:val="tx1"/>
                  </w14:solidFill>
                </w14:textFill>
              </w:rPr>
              <w:t xml:space="preserve">门急诊中药处方点评每年不少于 </w:t>
            </w:r>
            <w:r>
              <w:rPr>
                <w:rFonts w:hint="eastAsia" w:ascii="仿宋" w:hAnsi="仿宋" w:eastAsia="仿宋"/>
                <w:color w:val="000000" w:themeColor="text1"/>
                <w:sz w:val="24"/>
                <w:szCs w:val="24"/>
                <w14:textFill>
                  <w14:solidFill>
                    <w14:schemeClr w14:val="tx1"/>
                  </w14:solidFill>
                </w14:textFill>
              </w:rPr>
              <w:t>4</w:t>
            </w:r>
            <w:r>
              <w:rPr>
                <w:rFonts w:ascii="仿宋" w:hAnsi="仿宋" w:eastAsia="仿宋"/>
                <w:color w:val="000000" w:themeColor="text1"/>
                <w:sz w:val="24"/>
                <w:szCs w:val="24"/>
                <w14:textFill>
                  <w14:solidFill>
                    <w14:schemeClr w14:val="tx1"/>
                  </w14:solidFill>
                </w14:textFill>
              </w:rPr>
              <w:t>00</w:t>
            </w:r>
            <w:r>
              <w:rPr>
                <w:rFonts w:ascii="仿宋" w:hAnsi="仿宋" w:eastAsia="仿宋"/>
                <w:color w:val="000000" w:themeColor="text1"/>
                <w:spacing w:val="4"/>
                <w:sz w:val="24"/>
                <w:szCs w:val="24"/>
                <w14:textFill>
                  <w14:solidFill>
                    <w14:schemeClr w14:val="tx1"/>
                  </w14:solidFill>
                </w14:textFill>
              </w:rPr>
              <w:t xml:space="preserve"> </w:t>
            </w:r>
            <w:r>
              <w:rPr>
                <w:rFonts w:ascii="仿宋" w:hAnsi="仿宋" w:eastAsia="仿宋"/>
                <w:color w:val="000000" w:themeColor="text1"/>
                <w:spacing w:val="3"/>
                <w:sz w:val="24"/>
                <w:szCs w:val="24"/>
                <w14:textFill>
                  <w14:solidFill>
                    <w14:schemeClr w14:val="tx1"/>
                  </w14:solidFill>
                </w14:textFill>
              </w:rPr>
              <w:t>份或中药医嘱点</w:t>
            </w:r>
            <w:r>
              <w:rPr>
                <w:rFonts w:ascii="仿宋" w:hAnsi="仿宋" w:eastAsia="仿宋"/>
                <w:color w:val="000000" w:themeColor="text1"/>
                <w:spacing w:val="-6"/>
                <w:sz w:val="24"/>
                <w:szCs w:val="24"/>
                <w14:textFill>
                  <w14:solidFill>
                    <w14:schemeClr w14:val="tx1"/>
                  </w14:solidFill>
                </w14:textFill>
              </w:rPr>
              <w:t xml:space="preserve">评每年不少于 </w:t>
            </w:r>
            <w:r>
              <w:rPr>
                <w:rFonts w:hint="eastAsia" w:ascii="仿宋" w:hAnsi="仿宋" w:eastAsia="仿宋"/>
                <w:color w:val="000000" w:themeColor="text1"/>
                <w:spacing w:val="-6"/>
                <w:sz w:val="24"/>
                <w:szCs w:val="24"/>
                <w14:textFill>
                  <w14:solidFill>
                    <w14:schemeClr w14:val="tx1"/>
                  </w14:solidFill>
                </w14:textFill>
              </w:rPr>
              <w:t>6</w:t>
            </w:r>
            <w:r>
              <w:rPr>
                <w:rFonts w:ascii="仿宋" w:hAnsi="仿宋" w:eastAsia="仿宋"/>
                <w:color w:val="000000" w:themeColor="text1"/>
                <w:sz w:val="24"/>
                <w:szCs w:val="24"/>
                <w14:textFill>
                  <w14:solidFill>
                    <w14:schemeClr w14:val="tx1"/>
                  </w14:solidFill>
                </w14:textFill>
              </w:rPr>
              <w:t>0</w:t>
            </w:r>
            <w:r>
              <w:rPr>
                <w:rFonts w:ascii="仿宋" w:hAnsi="仿宋" w:eastAsia="仿宋"/>
                <w:color w:val="000000" w:themeColor="text1"/>
                <w:spacing w:val="7"/>
                <w:sz w:val="24"/>
                <w:szCs w:val="24"/>
                <w14:textFill>
                  <w14:solidFill>
                    <w14:schemeClr w14:val="tx1"/>
                  </w14:solidFill>
                </w14:textFill>
              </w:rPr>
              <w:t xml:space="preserve"> </w:t>
            </w:r>
            <w:r>
              <w:rPr>
                <w:rFonts w:ascii="仿宋" w:hAnsi="仿宋" w:eastAsia="仿宋"/>
                <w:color w:val="000000" w:themeColor="text1"/>
                <w:spacing w:val="3"/>
                <w:sz w:val="24"/>
                <w:szCs w:val="24"/>
                <w14:textFill>
                  <w14:solidFill>
                    <w14:schemeClr w14:val="tx1"/>
                  </w14:solidFill>
                </w14:textFill>
              </w:rPr>
              <w:t>份病历；或晋升周期内点评不少于</w:t>
            </w:r>
            <w:r>
              <w:rPr>
                <w:rFonts w:hint="eastAsia" w:ascii="仿宋" w:hAnsi="仿宋" w:eastAsia="仿宋"/>
                <w:color w:val="000000" w:themeColor="text1"/>
                <w:sz w:val="24"/>
                <w:szCs w:val="24"/>
                <w14:textFill>
                  <w14:solidFill>
                    <w14:schemeClr w14:val="tx1"/>
                  </w14:solidFill>
                </w14:textFill>
              </w:rPr>
              <w:t>2</w:t>
            </w:r>
            <w:r>
              <w:rPr>
                <w:rFonts w:ascii="仿宋" w:hAnsi="仿宋" w:eastAsia="仿宋"/>
                <w:color w:val="000000" w:themeColor="text1"/>
                <w:sz w:val="24"/>
                <w:szCs w:val="24"/>
                <w14:textFill>
                  <w14:solidFill>
                    <w14:schemeClr w14:val="tx1"/>
                  </w14:solidFill>
                </w14:textFill>
              </w:rPr>
              <w:t xml:space="preserve">000 张中药处方或 </w:t>
            </w:r>
            <w:r>
              <w:rPr>
                <w:rFonts w:hint="eastAsia" w:ascii="仿宋" w:hAnsi="仿宋" w:eastAsia="仿宋"/>
                <w:color w:val="000000" w:themeColor="text1"/>
                <w:sz w:val="24"/>
                <w:szCs w:val="24"/>
                <w14:textFill>
                  <w14:solidFill>
                    <w14:schemeClr w14:val="tx1"/>
                  </w14:solidFill>
                </w14:textFill>
              </w:rPr>
              <w:t>3</w:t>
            </w:r>
            <w:r>
              <w:rPr>
                <w:rFonts w:ascii="仿宋" w:hAnsi="仿宋" w:eastAsia="仿宋"/>
                <w:color w:val="000000" w:themeColor="text1"/>
                <w:sz w:val="24"/>
                <w:szCs w:val="24"/>
                <w14:textFill>
                  <w14:solidFill>
                    <w14:schemeClr w14:val="tx1"/>
                  </w14:solidFill>
                </w14:textFill>
              </w:rPr>
              <w:t>00 份中药医嘱</w:t>
            </w:r>
          </w:p>
        </w:tc>
      </w:tr>
    </w:tbl>
    <w:p>
      <w:pPr>
        <w:spacing w:before="74"/>
        <w:ind w:left="133"/>
        <w:rPr>
          <w:rFonts w:ascii="楷体" w:hAnsi="楷体" w:eastAsia="楷体"/>
          <w:color w:val="000000" w:themeColor="text1"/>
          <w:sz w:val="24"/>
          <w14:textFill>
            <w14:solidFill>
              <w14:schemeClr w14:val="tx1"/>
            </w14:solidFill>
          </w14:textFill>
        </w:rPr>
      </w:pPr>
      <w:r>
        <w:rPr>
          <w:rFonts w:ascii="楷体" w:hAnsi="楷体" w:eastAsia="楷体"/>
          <w:color w:val="000000" w:themeColor="text1"/>
          <w:sz w:val="24"/>
          <w14:textFill>
            <w14:solidFill>
              <w14:schemeClr w14:val="tx1"/>
            </w14:solidFill>
          </w14:textFill>
        </w:rPr>
        <w:t>注：1.申报人员除应满足“专业工作时间”外，还应满足评价项目中其余任意一项评价项目。</w:t>
      </w:r>
    </w:p>
    <w:p>
      <w:pPr>
        <w:pStyle w:val="15"/>
        <w:tabs>
          <w:tab w:val="left" w:pos="795"/>
        </w:tabs>
        <w:spacing w:before="12"/>
        <w:ind w:left="613" w:firstLine="0"/>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pacing w:val="-5"/>
          <w:sz w:val="24"/>
          <w14:textFill>
            <w14:solidFill>
              <w14:schemeClr w14:val="tx1"/>
            </w14:solidFill>
          </w14:textFill>
        </w:rPr>
        <w:t xml:space="preserve">2. </w:t>
      </w:r>
      <w:r>
        <w:rPr>
          <w:rFonts w:ascii="楷体" w:hAnsi="楷体" w:eastAsia="楷体"/>
          <w:color w:val="000000" w:themeColor="text1"/>
          <w:spacing w:val="-5"/>
          <w:sz w:val="24"/>
          <w14:textFill>
            <w14:solidFill>
              <w14:schemeClr w14:val="tx1"/>
            </w14:solidFill>
          </w14:textFill>
        </w:rPr>
        <w:t xml:space="preserve">本表中晋升周期内的工作量，申报副主任药师，是按照受聘主管药师 </w:t>
      </w:r>
      <w:r>
        <w:rPr>
          <w:rFonts w:ascii="楷体" w:hAnsi="楷体" w:eastAsia="楷体"/>
          <w:color w:val="000000" w:themeColor="text1"/>
          <w:sz w:val="24"/>
          <w14:textFill>
            <w14:solidFill>
              <w14:schemeClr w14:val="tx1"/>
            </w14:solidFill>
          </w14:textFill>
        </w:rPr>
        <w:t xml:space="preserve">5 </w:t>
      </w:r>
      <w:r>
        <w:rPr>
          <w:rFonts w:ascii="楷体" w:hAnsi="楷体" w:eastAsia="楷体"/>
          <w:color w:val="000000" w:themeColor="text1"/>
          <w:spacing w:val="-16"/>
          <w:sz w:val="24"/>
          <w14:textFill>
            <w14:solidFill>
              <w14:schemeClr w14:val="tx1"/>
            </w14:solidFill>
          </w14:textFill>
        </w:rPr>
        <w:t xml:space="preserve">年，每年 </w:t>
      </w:r>
      <w:r>
        <w:rPr>
          <w:rFonts w:ascii="楷体" w:hAnsi="楷体" w:eastAsia="楷体"/>
          <w:color w:val="000000" w:themeColor="text1"/>
          <w:sz w:val="24"/>
          <w14:textFill>
            <w14:solidFill>
              <w14:schemeClr w14:val="tx1"/>
            </w14:solidFill>
          </w14:textFill>
        </w:rPr>
        <w:t>40</w:t>
      </w:r>
      <w:r>
        <w:rPr>
          <w:rFonts w:ascii="楷体" w:hAnsi="楷体" w:eastAsia="楷体"/>
          <w:color w:val="000000" w:themeColor="text1"/>
          <w:spacing w:val="1"/>
          <w:sz w:val="24"/>
          <w14:textFill>
            <w14:solidFill>
              <w14:schemeClr w14:val="tx1"/>
            </w14:solidFill>
          </w14:textFill>
        </w:rPr>
        <w:t xml:space="preserve"> </w:t>
      </w:r>
      <w:r>
        <w:rPr>
          <w:rFonts w:ascii="楷体" w:hAnsi="楷体" w:eastAsia="楷体"/>
          <w:color w:val="000000" w:themeColor="text1"/>
          <w:spacing w:val="-5"/>
          <w:sz w:val="24"/>
          <w14:textFill>
            <w14:solidFill>
              <w14:schemeClr w14:val="tx1"/>
            </w14:solidFill>
          </w14:textFill>
        </w:rPr>
        <w:t>周计算总工作量；申报主任药师，是按照受聘副主任药</w:t>
      </w:r>
      <w:r>
        <w:rPr>
          <w:rFonts w:ascii="楷体" w:hAnsi="楷体" w:eastAsia="楷体"/>
          <w:color w:val="000000" w:themeColor="text1"/>
          <w:sz w:val="24"/>
          <w14:textFill>
            <w14:solidFill>
              <w14:schemeClr w14:val="tx1"/>
            </w14:solidFill>
          </w14:textFill>
        </w:rPr>
        <w:t>师，每年 35 周计算总工作量。</w:t>
      </w:r>
    </w:p>
    <w:p>
      <w:pPr>
        <w:tabs>
          <w:tab w:val="left" w:pos="795"/>
        </w:tabs>
        <w:spacing w:before="12"/>
        <w:ind w:left="613"/>
        <w:rPr>
          <w:rFonts w:ascii="楷体" w:hAnsi="楷体" w:eastAsia="楷体"/>
          <w:color w:val="000000" w:themeColor="text1"/>
          <w:sz w:val="24"/>
          <w14:textFill>
            <w14:solidFill>
              <w14:schemeClr w14:val="tx1"/>
            </w14:solidFill>
          </w14:textFill>
        </w:rPr>
      </w:pPr>
      <w:r>
        <w:rPr>
          <w:rFonts w:hint="eastAsia" w:ascii="楷体" w:hAnsi="楷体" w:eastAsia="楷体"/>
          <w:color w:val="000000" w:themeColor="text1"/>
          <w:sz w:val="24"/>
          <w14:textFill>
            <w14:solidFill>
              <w14:schemeClr w14:val="tx1"/>
            </w14:solidFill>
          </w14:textFill>
        </w:rPr>
        <w:t>3.</w:t>
      </w:r>
      <w:r>
        <w:rPr>
          <w:rFonts w:ascii="楷体" w:hAnsi="楷体" w:eastAsia="楷体"/>
          <w:color w:val="000000" w:themeColor="text1"/>
          <w:sz w:val="24"/>
          <w14:textFill>
            <w14:solidFill>
              <w14:schemeClr w14:val="tx1"/>
            </w14:solidFill>
          </w14:textFill>
        </w:rPr>
        <w:t>中药处方包括中药饮片（含散装中药饮片、小包装中药饮片、中药配方颗粒）处方和中成药（含医疗机构中药制剂）处方。</w:t>
      </w:r>
      <w:r>
        <w:rPr>
          <w:rFonts w:hint="eastAsia" w:ascii="楷体" w:hAnsi="楷体" w:eastAsia="楷体"/>
          <w:color w:val="000000" w:themeColor="text1"/>
          <w:sz w:val="24"/>
          <w14:textFill>
            <w14:solidFill>
              <w14:schemeClr w14:val="tx1"/>
            </w14:solidFill>
          </w14:textFill>
        </w:rPr>
        <w:t>4.</w:t>
      </w:r>
      <w:r>
        <w:rPr>
          <w:rFonts w:ascii="楷体" w:hAnsi="楷体" w:eastAsia="楷体"/>
          <w:color w:val="000000" w:themeColor="text1"/>
          <w:spacing w:val="-4"/>
          <w:sz w:val="24"/>
          <w14:textFill>
            <w14:solidFill>
              <w14:schemeClr w14:val="tx1"/>
            </w14:solidFill>
          </w14:textFill>
        </w:rPr>
        <w:t xml:space="preserve">晋升周期内从事不同岗位的申报人员，按 </w:t>
      </w:r>
      <w:r>
        <w:rPr>
          <w:rFonts w:ascii="楷体" w:hAnsi="楷体" w:eastAsia="楷体"/>
          <w:color w:val="000000" w:themeColor="text1"/>
          <w:sz w:val="24"/>
          <w14:textFill>
            <w14:solidFill>
              <w14:schemeClr w14:val="tx1"/>
            </w14:solidFill>
          </w14:textFill>
        </w:rPr>
        <w:t xml:space="preserve">5 </w:t>
      </w:r>
      <w:r>
        <w:rPr>
          <w:rFonts w:ascii="楷体" w:hAnsi="楷体" w:eastAsia="楷体"/>
          <w:color w:val="000000" w:themeColor="text1"/>
          <w:spacing w:val="-7"/>
          <w:sz w:val="24"/>
          <w14:textFill>
            <w14:solidFill>
              <w14:schemeClr w14:val="tx1"/>
            </w14:solidFill>
          </w14:textFill>
        </w:rPr>
        <w:t xml:space="preserve">年晋升周期工作量 </w:t>
      </w:r>
      <w:r>
        <w:rPr>
          <w:rFonts w:ascii="楷体" w:hAnsi="楷体" w:eastAsia="楷体"/>
          <w:color w:val="000000" w:themeColor="text1"/>
          <w:sz w:val="24"/>
          <w14:textFill>
            <w14:solidFill>
              <w14:schemeClr w14:val="tx1"/>
            </w14:solidFill>
          </w14:textFill>
        </w:rPr>
        <w:t>100%计，不同岗位累计完成工作量比例之和≥100%即可。</w:t>
      </w:r>
    </w:p>
    <w:p>
      <w:pPr>
        <w:tabs>
          <w:tab w:val="left" w:pos="795"/>
        </w:tabs>
        <w:spacing w:before="12"/>
        <w:rPr>
          <w:rFonts w:ascii="楷体" w:hAnsi="楷体" w:eastAsia="楷体"/>
          <w:color w:val="000000" w:themeColor="text1"/>
          <w:sz w:val="24"/>
          <w14:textFill>
            <w14:solidFill>
              <w14:schemeClr w14:val="tx1"/>
            </w14:solidFill>
          </w14:textFill>
        </w:rPr>
        <w:sectPr>
          <w:pgSz w:w="16838" w:h="11906" w:orient="landscape"/>
          <w:pgMar w:top="1797" w:right="1440" w:bottom="1797" w:left="1440" w:header="851" w:footer="992" w:gutter="0"/>
          <w:cols w:space="425" w:num="1"/>
          <w:docGrid w:type="linesAndChars" w:linePitch="312" w:charSpace="0"/>
        </w:sectPr>
      </w:pPr>
    </w:p>
    <w:p>
      <w:pPr>
        <w:pStyle w:val="5"/>
        <w:shd w:val="clear" w:color="auto" w:fill="FFFFFF"/>
        <w:spacing w:before="0" w:beforeAutospacing="0" w:after="0" w:afterAutospacing="0"/>
        <w:jc w:val="center"/>
        <w:rPr>
          <w:rFonts w:asciiTheme="majorEastAsia" w:hAnsiTheme="majorEastAsia" w:eastAsiaTheme="majorEastAsia"/>
          <w:color w:val="000000" w:themeColor="text1"/>
          <w:spacing w:val="-20"/>
          <w:sz w:val="44"/>
          <w:szCs w:val="44"/>
          <w14:textFill>
            <w14:solidFill>
              <w14:schemeClr w14:val="tx1"/>
            </w14:solidFill>
          </w14:textFill>
        </w:rPr>
      </w:pPr>
      <w:r>
        <w:rPr>
          <w:rFonts w:hint="eastAsia" w:asciiTheme="majorEastAsia" w:hAnsiTheme="majorEastAsia" w:eastAsiaTheme="majorEastAsia"/>
          <w:color w:val="000000" w:themeColor="text1"/>
          <w:spacing w:val="-20"/>
          <w:sz w:val="44"/>
          <w:szCs w:val="44"/>
          <w14:textFill>
            <w14:solidFill>
              <w14:schemeClr w14:val="tx1"/>
            </w14:solidFill>
          </w14:textFill>
        </w:rPr>
        <w:t>河南省</w:t>
      </w:r>
      <w:r>
        <w:rPr>
          <w:rFonts w:asciiTheme="majorEastAsia" w:hAnsiTheme="majorEastAsia" w:eastAsiaTheme="majorEastAsia"/>
          <w:color w:val="000000" w:themeColor="text1"/>
          <w:spacing w:val="-20"/>
          <w:sz w:val="44"/>
          <w:szCs w:val="44"/>
          <w14:textFill>
            <w14:solidFill>
              <w14:schemeClr w14:val="tx1"/>
            </w14:solidFill>
          </w14:textFill>
        </w:rPr>
        <w:t>卫生系列基层高级职称申报评审条件</w:t>
      </w:r>
    </w:p>
    <w:p>
      <w:pPr>
        <w:pStyle w:val="5"/>
        <w:shd w:val="clear" w:color="auto" w:fill="FFFFFF"/>
        <w:spacing w:before="0" w:beforeAutospacing="0" w:after="0" w:afterAutospacing="0"/>
        <w:jc w:val="center"/>
        <w:rPr>
          <w:rFonts w:asciiTheme="majorEastAsia" w:hAnsiTheme="majorEastAsia" w:eastAsiaTheme="majorEastAsia"/>
          <w:color w:val="000000" w:themeColor="text1"/>
          <w:sz w:val="44"/>
          <w:szCs w:val="44"/>
          <w14:textFill>
            <w14:solidFill>
              <w14:schemeClr w14:val="tx1"/>
            </w14:solidFill>
          </w14:textFill>
        </w:rPr>
      </w:pPr>
      <w:r>
        <w:rPr>
          <w:rFonts w:hint="eastAsia" w:asciiTheme="majorEastAsia" w:hAnsiTheme="majorEastAsia" w:eastAsiaTheme="majorEastAsia"/>
          <w:color w:val="000000" w:themeColor="text1"/>
          <w:sz w:val="44"/>
          <w:szCs w:val="44"/>
          <w14:textFill>
            <w14:solidFill>
              <w14:schemeClr w14:val="tx1"/>
            </w14:solidFill>
          </w14:textFill>
        </w:rPr>
        <w:t>（技术类）</w:t>
      </w:r>
      <w:r>
        <w:rPr>
          <w:rFonts w:hint="eastAsia" w:asciiTheme="majorEastAsia" w:hAnsiTheme="majorEastAsia" w:eastAsiaTheme="majorEastAsia"/>
          <w:color w:val="000000" w:themeColor="text1"/>
          <w:sz w:val="44"/>
          <w:szCs w:val="44"/>
          <w:lang w:eastAsia="zh-CN"/>
          <w14:textFill>
            <w14:solidFill>
              <w14:schemeClr w14:val="tx1"/>
            </w14:solidFill>
          </w14:textFill>
        </w:rPr>
        <w:t>（征求意见稿）</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总则</w:t>
      </w: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p>
    <w:p>
      <w:pPr>
        <w:autoSpaceDE w:val="0"/>
        <w:autoSpaceDN w:val="0"/>
        <w:adjustRightInd w:val="0"/>
        <w:ind w:firstLine="640" w:firstLineChars="200"/>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为了客观、公正、科学地评价基层卫生专业技术人员的能力与水平，建立完善考评结合的人才评价机制，鼓励卫生专业技术人员服务基层，为强基层、保基本、建机制和建立分级诊疗制度提供人才支持，根据人力资源社会保障部、国家卫生健康委、国家中医药局《关于深化卫生专业技术人员职称制度改革的指导意见》（人社部发〔2021〕51 号）和我省职称改革有关政策规定，结合我省实际，制定本条件。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二、本条件适用于全省基层医疗卫生机构中从事技术类专业的卫生专业技术人员，含在编或签订正式聘用合同的人员，不含上级机构派出人员。基层医疗卫生机构包括：</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二、本条件适用于全省基层医疗卫生机构中从事医疗类专业的卫生专业技术人员，含在编或签订正式聘用合同的人员，不含上级机构派出人员。基层医疗卫生机构包括：</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（一）县（市、区）级医疗卫生机构，包括县级公立医院、专业公共卫生机构；</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（二）乡镇（街道）卫生院、社区服务中心（站）、村卫生室；</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（三）县（市、区）卫生健康行政部门审批的医疗卫生机构；</w:t>
      </w:r>
    </w:p>
    <w:p>
      <w:pPr>
        <w:pStyle w:val="5"/>
        <w:shd w:val="clear" w:color="auto" w:fill="FFFFFF"/>
        <w:spacing w:before="0" w:beforeAutospacing="0" w:after="0" w:afterAutospacing="0"/>
        <w:ind w:firstLine="640" w:firstLineChars="200"/>
        <w:rPr>
          <w:rFonts w:ascii="仿宋" w:hAnsi="仿宋" w:eastAsia="仿宋"/>
          <w:bCs/>
          <w:color w:val="000000" w:themeColor="text1"/>
          <w:sz w:val="32"/>
          <w:szCs w:val="32"/>
          <w14:textFill>
            <w14:solidFill>
              <w14:schemeClr w14:val="tx1"/>
            </w14:solidFill>
          </w14:textFill>
        </w:rPr>
      </w:pPr>
      <w:r>
        <w:rPr>
          <w:rFonts w:hint="eastAsia" w:ascii="仿宋" w:hAnsi="仿宋" w:eastAsia="仿宋"/>
          <w:bCs/>
          <w:color w:val="000000" w:themeColor="text1"/>
          <w:sz w:val="32"/>
          <w:szCs w:val="32"/>
          <w14:textFill>
            <w14:solidFill>
              <w14:schemeClr w14:val="tx1"/>
            </w14:solidFill>
          </w14:textFill>
        </w:rPr>
        <w:t>（四）在县（市）域内登记的省辖市卫生健康行政部门审批的医疗卫生机构。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三、卫生系列技术类基层副高级职称的名称为基层副主任技师和乡镇社区副主任技师，基层正高级职称的名称为基层主任技师。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基层卫生专业技术人员可申报全省高级职称评审，也可申报基层高级职称评审；乡镇（街道）卫生院、社区服务中心（站）、村卫生室卫生专业技术人员可申报基层副高级职称评审，也可申报乡镇社区副高级职称评审。但同一晋升年度，不能同时申报。卫生系列基层高级职称仅限于在基层医疗卫生机构聘任，乡镇社区副高级职称仅限于在乡镇（街道）卫生院、社区服务中心（站）、村卫生室聘任。如需到适用范围以外的医疗卫生机构任职须重新申报并取得相应的高级职称，任职年限可累计计算。</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五、乡镇（街道）卫生院、社区服务中心（站）以及村卫生室人员申报乡镇社区副高级职称的，业务水平考试单独划分合格分数线。</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本条件为基层卫生专业技术人员申报和评审委员会评审时掌握的基本条件，评审委员会可依据本条件制定相应的实施办法。用人单位向评审委员会推荐人员的条件，由用人单位根据本条件和单位业务工作实际制定，但不得低于本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适用专业包括：心电图技术、神经电生理（脑电图）技术、肿瘤放射治疗技术、康复医学技术、口腔医学技术、临床医学检验技术、微生物检验技术、理化检验技术、病理学技术、超声医学技术、核医学技术、放射医学技术、输血技术、病案信息技术、消毒技术、病媒生物控制技术、卫生毒理。</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适用专业根据卫生健康行业发展和需要适时调整。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ascii="黑体" w:hAnsi="黑体" w:eastAsia="黑体"/>
          <w:color w:val="000000" w:themeColor="text1"/>
          <w:sz w:val="32"/>
          <w:szCs w:val="32"/>
          <w14:textFill>
            <w14:solidFill>
              <w14:schemeClr w14:val="tx1"/>
            </w14:solidFill>
          </w14:textFill>
        </w:rPr>
        <w:t>分则</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一、申报条件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（一）遵守国家宪法和法律，贯彻新时代卫生与健康工作方针，自觉践行“敬佑生命、救死扶伤、甘于奉献、大爱无疆”的职业精神，具备良好的政治素质、协作精神、敬业精神和医德医风。</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（二）身心健康，心理素质良好，能全面履行岗位职责。</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（三）任现职以来（近5年）年度考核均为合格以上。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（四）申报基层高级职称须在基层医疗卫生机构聘任满1年，申报乡镇社区副高级职称须在乡镇（街道）卫生院、社区服务中心（站）以及村卫生室聘任满5年。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（五）学历和任职年限分别符合以下要求。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1.申报基层副主任技师职称，需具备相应专业大学本科及以上学历或学士及以上学位，受聘担任主管技师职务满5年；或具备相应专业大专学历，受聘担任主管技师职务满7年。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2.申报基层主任技师职称，需具备相应专业大学本科及以上学历或学士及以上学位，受聘担任副主任技师职务满5年。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申报乡镇社区副主任技师职称，需具备相应专业大学本科以上学历或学士及以上学位，受聘担任主管技师职务满4年；或具备相应专业大专学历，受聘担任主管技师职务满6年；或具备相应专业中专学历，受聘担任主管技师职务满7年。</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（六）完成健康科普工作要求。开展健康科普知识宣讲，每年不少于2次；或者在各级卫生健康部门和县级以上医疗机构等新媒体平台发表健康科普文章、音视频作品每年不少于2篇（条）。</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（七）任现职以来完成规定的工作量要求（详见附表1）。</w:t>
      </w:r>
      <w:r>
        <w:rPr>
          <w:rFonts w:hint="eastAsia" w:ascii="黑体" w:hAnsi="黑体" w:eastAsia="黑体"/>
          <w:color w:val="000000" w:themeColor="text1"/>
          <w:sz w:val="32"/>
          <w:szCs w:val="32"/>
          <w14:textFill>
            <w14:solidFill>
              <w14:schemeClr w14:val="tx1"/>
            </w14:solidFill>
          </w14:textFill>
        </w:rPr>
        <w:t>二、评审条件</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（一）专业能力要求。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1.副主任技师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熟练掌握本专业基础理论和专业知识，熟悉本专业国内外现状及发展趋势，不断吸取新理论、新知识、新技术并推广应用，熟悉本专业相关的法律、法规、标准与技术规范。有较丰富的基层卫生工作经验，能独立解决复杂或重大技术问题，具有指导本专业下级技师的能力。</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2.主任技师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在具备所规定的副主任技师水平的基础上，精通本专业某一领域的基本理论知识与技能，并有所专长。深入了解本专业国内外现状及发展趋势，不断吸取新理论、新知识、新技术并用于实践。有丰富的基层卫生工作经验，能独立解决复杂或重大技术问题，具有指导本专业下级技师的能力。</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（二）工作业绩要求。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工作业绩实行成果代表作制度。申报基层副主任技师和基层主任技师提交任现职以来代表个人专业技术能力和水平的标志性工作业绩2项以上（第1项为必备）；申报乡镇社区副主任技师提交第1项。</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1.副主任技师</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（1）解决本专业复杂问题形成的临床病案报告、操作视频、</w:t>
      </w:r>
      <w:r>
        <w:rPr>
          <w:rFonts w:ascii="仿宋" w:hAnsi="仿宋" w:eastAsia="仿宋"/>
          <w:color w:val="000000" w:themeColor="text1"/>
          <w:sz w:val="32"/>
          <w:szCs w:val="32"/>
          <w14:textFill>
            <w14:solidFill>
              <w14:schemeClr w14:val="tx1"/>
            </w14:solidFill>
          </w14:textFill>
        </w:rPr>
        <w:t>专业技术报告、</w:t>
      </w:r>
      <w:r>
        <w:rPr>
          <w:rFonts w:hint="eastAsia" w:ascii="仿宋" w:hAnsi="仿宋" w:eastAsia="仿宋"/>
          <w:color w:val="000000" w:themeColor="text1"/>
          <w:sz w:val="32"/>
          <w:szCs w:val="32"/>
          <w14:textFill>
            <w14:solidFill>
              <w14:schemeClr w14:val="tx1"/>
            </w14:solidFill>
          </w14:textFill>
        </w:rPr>
        <w:t>应急处置情况报告、流行病学调查报告等。须附相关原始资料。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（2）率先在本单位或本地区开展的新技术或新项目，解决基层技术难题，形成的推广使用报告。须附相关原始资料。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（3）结合本专业临床实践，在推荐学术期刊上发表的本专业论文1篇（不少于2500字）。须附相关原始资料。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（4）主持或参与的课题研究报告、获得的科技奖励等。</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（5）吸取新理论、新知识、新技术形成的与本专业相关的发明专利1项（限第1原始发明人）,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2.主任药师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（1）解决本专业复杂问题形成的临床病案报告、操作视频、</w:t>
      </w:r>
      <w:r>
        <w:rPr>
          <w:rFonts w:ascii="仿宋" w:hAnsi="仿宋" w:eastAsia="仿宋"/>
          <w:color w:val="000000" w:themeColor="text1"/>
          <w:sz w:val="32"/>
          <w:szCs w:val="32"/>
          <w14:textFill>
            <w14:solidFill>
              <w14:schemeClr w14:val="tx1"/>
            </w14:solidFill>
          </w14:textFill>
        </w:rPr>
        <w:t>专业技术报告、</w:t>
      </w:r>
      <w:r>
        <w:rPr>
          <w:rFonts w:hint="eastAsia" w:ascii="仿宋" w:hAnsi="仿宋" w:eastAsia="仿宋"/>
          <w:color w:val="000000" w:themeColor="text1"/>
          <w:sz w:val="32"/>
          <w:szCs w:val="32"/>
          <w14:textFill>
            <w14:solidFill>
              <w14:schemeClr w14:val="tx1"/>
            </w14:solidFill>
          </w14:textFill>
        </w:rPr>
        <w:t>应急处置情况报告、流行病学调查报告等。须附相关原始资料。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（2）率先在本单位或本地区开展的新技术或新项目，解决基层技术难题，形成的推广使用报告。须附相关原始资料。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（3）结合本专业临床实践，在推荐学术期刊上发表的本专业论文2篇（每篇不少于2500字）。须附相关原始资料。</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（4）主持的课题研究报告、获得的科技奖励等（限第1名）。</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（5）吸取新理论、新知识、新技术形成的与本专业相关的发明专利</w:t>
      </w:r>
      <w:r>
        <w:rPr>
          <w:rFonts w:hint="eastAsia" w:ascii="仿宋" w:hAnsi="仿宋" w:eastAsia="仿宋"/>
          <w:color w:val="000000" w:themeColor="text1"/>
          <w:sz w:val="32"/>
          <w:szCs w:val="32"/>
          <w:lang w:val="en-US" w:eastAsia="zh-CN"/>
          <w14:textFill>
            <w14:solidFill>
              <w14:schemeClr w14:val="tx1"/>
            </w14:solidFill>
          </w14:textFill>
        </w:rPr>
        <w:t>1</w:t>
      </w:r>
      <w:r>
        <w:rPr>
          <w:rFonts w:hint="eastAsia" w:ascii="仿宋" w:hAnsi="仿宋" w:eastAsia="仿宋"/>
          <w:color w:val="000000" w:themeColor="text1"/>
          <w:sz w:val="32"/>
          <w:szCs w:val="32"/>
          <w14:textFill>
            <w14:solidFill>
              <w14:schemeClr w14:val="tx1"/>
            </w14:solidFill>
          </w14:textFill>
        </w:rPr>
        <w:t>项（限第1原始发明人）,</w:t>
      </w:r>
      <w:r>
        <w:rPr>
          <w:rFonts w:hint="eastAsia"/>
          <w:color w:val="000000" w:themeColor="text1"/>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并在实际工作中应用，取得明显社会效益或经济效益。</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（6）参与研究并形成的技术规范、卫生标准、临床指南或专家共识1项。</w:t>
      </w:r>
    </w:p>
    <w:p>
      <w:pPr>
        <w:pStyle w:val="5"/>
        <w:shd w:val="clear" w:color="auto" w:fill="FFFFFF"/>
        <w:spacing w:before="0" w:beforeAutospacing="0" w:after="0" w:afterAutospacing="0"/>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三、申报材料要求</w:t>
      </w:r>
      <w:r>
        <w:rPr>
          <w:rFonts w:ascii="黑体" w:hAnsi="黑体" w:eastAsia="黑体"/>
          <w:color w:val="000000" w:themeColor="text1"/>
          <w:sz w:val="32"/>
          <w:szCs w:val="32"/>
          <w14:textFill>
            <w14:solidFill>
              <w14:schemeClr w14:val="tx1"/>
            </w14:solidFill>
          </w14:textFill>
        </w:rPr>
        <w:t xml:space="preserve"> </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技术类专业人员在任期内须每年向单位提交本人在实际工作中解决本专业复杂疑难问题或运用新知识、新技术、新成果开展业务工作的专题报告5份（每份2000字以上），并附原始临床资料，由单位随机抽取5份参加评审（近5年每年抽取1份）。</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jc w:val="center"/>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附则</w:t>
      </w:r>
    </w:p>
    <w:p>
      <w:pPr>
        <w:pStyle w:val="5"/>
        <w:shd w:val="clear" w:color="auto" w:fill="FFFFFF"/>
        <w:spacing w:before="0" w:beforeAutospacing="0" w:after="0" w:afterAutospacing="0"/>
        <w:rPr>
          <w:rFonts w:ascii="仿宋" w:hAnsi="仿宋" w:eastAsia="仿宋"/>
          <w:color w:val="000000" w:themeColor="text1"/>
          <w:sz w:val="32"/>
          <w:szCs w:val="32"/>
          <w14:textFill>
            <w14:solidFill>
              <w14:schemeClr w14:val="tx1"/>
            </w14:solidFill>
          </w14:textFill>
        </w:rPr>
      </w:pP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一、本条件所称“以上”“以下”均含本级或本数量。</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二、本条件所称“学历”指国家教育行政部门承认的医学相关专业学历，申报专业应与学历专业一致。取得国（境）外相应学历学位的人员，需提供国家教育部国（境）外学历学位认证书。</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三、本条件规定的申报条件和评审条件应同时具备，病案、专题报告、论文、技术专利、科研成果等业绩均应为聘任现职称以来取得，全日制脱产学习期间取得的业绩不可参评。</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本条件所提及的论文均限独著或第一作者，不含通讯作者，出现并列第一作者的文章仅供排名第一者使用。论文发表的刊物不含增刊、特刊、专刊、论文汇集等，综述、个案报道、通讯报道、科普性文章等不作为评审论文对待。SCI论文影响因子小于2.0的视为一篇三类期刊论文，2.0以上小于3.0的视为一篇二类期刊论文，3.0以上的视为一篇一类期刊论文。</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五、跨系列（非卫生系列转评卫生系列）或跨类别（医、药、护、技）转评的，聘任现卫生职称年限仍须符合本条件要求。</w:t>
      </w:r>
    </w:p>
    <w:p>
      <w:pPr>
        <w:pStyle w:val="5"/>
        <w:shd w:val="clear" w:color="auto" w:fill="FFFFFF"/>
        <w:spacing w:before="0" w:beforeAutospacing="0" w:after="0" w:afterAutospacing="0"/>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六、期刊目录的制定与分类由高评会征求各专业专家意见确定并适时进行动态调整。</w:t>
      </w:r>
    </w:p>
    <w:p>
      <w:pPr>
        <w:tabs>
          <w:tab w:val="left" w:pos="795"/>
        </w:tabs>
        <w:spacing w:before="12"/>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七、本条件由河南省人力资源和社会保障厅、河南省卫生健康委员会负责解释。未涉及的事项，按国家和省有关文件规定执行。</w:t>
      </w:r>
    </w:p>
    <w:p>
      <w:pPr>
        <w:tabs>
          <w:tab w:val="left" w:pos="795"/>
        </w:tabs>
        <w:spacing w:before="12"/>
        <w:ind w:firstLine="640" w:firstLineChars="200"/>
        <w:rPr>
          <w:rFonts w:ascii="仿宋" w:hAnsi="仿宋" w:eastAsia="仿宋"/>
          <w:color w:val="000000" w:themeColor="text1"/>
          <w:sz w:val="32"/>
          <w:szCs w:val="32"/>
          <w14:textFill>
            <w14:solidFill>
              <w14:schemeClr w14:val="tx1"/>
            </w14:solidFill>
          </w14:textFill>
        </w:rPr>
        <w:sectPr>
          <w:pgSz w:w="11906" w:h="16838"/>
          <w:pgMar w:top="1440" w:right="1797" w:bottom="1440" w:left="1797" w:header="851" w:footer="992" w:gutter="0"/>
          <w:cols w:space="425" w:num="1"/>
          <w:docGrid w:type="lines" w:linePitch="312" w:charSpace="0"/>
        </w:sectPr>
      </w:pPr>
      <w:r>
        <w:rPr>
          <w:rFonts w:hint="eastAsia" w:ascii="仿宋" w:hAnsi="仿宋" w:eastAsia="仿宋"/>
          <w:color w:val="000000" w:themeColor="text1"/>
          <w:sz w:val="32"/>
          <w:szCs w:val="32"/>
          <w14:textFill>
            <w14:solidFill>
              <w14:schemeClr w14:val="tx1"/>
            </w14:solidFill>
          </w14:textFill>
        </w:rPr>
        <w:t>八、本条件自  年  月  日起施行。</w:t>
      </w:r>
    </w:p>
    <w:p>
      <w:pPr>
        <w:tabs>
          <w:tab w:val="left" w:pos="795"/>
        </w:tabs>
        <w:spacing w:before="12"/>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附表</w:t>
      </w:r>
    </w:p>
    <w:p>
      <w:pPr>
        <w:pStyle w:val="5"/>
        <w:shd w:val="clear" w:color="auto" w:fill="FFFFFF"/>
        <w:spacing w:before="0" w:beforeAutospacing="0" w:after="0" w:afterAutospacing="0"/>
        <w:jc w:val="center"/>
        <w:rPr>
          <w:rFonts w:asciiTheme="minorEastAsia" w:hAnsiTheme="minorEastAsia" w:eastAsiaTheme="minorEastAsia"/>
          <w:color w:val="000000" w:themeColor="text1"/>
          <w:sz w:val="44"/>
          <w:szCs w:val="44"/>
          <w14:textFill>
            <w14:solidFill>
              <w14:schemeClr w14:val="tx1"/>
            </w14:solidFill>
          </w14:textFill>
        </w:rPr>
      </w:pPr>
      <w:r>
        <w:rPr>
          <w:rFonts w:hint="eastAsia" w:asciiTheme="minorEastAsia" w:hAnsiTheme="minorEastAsia" w:eastAsiaTheme="minorEastAsia"/>
          <w:color w:val="000000" w:themeColor="text1"/>
          <w:sz w:val="44"/>
          <w:szCs w:val="44"/>
          <w14:textFill>
            <w14:solidFill>
              <w14:schemeClr w14:val="tx1"/>
            </w14:solidFill>
          </w14:textFill>
        </w:rPr>
        <w:t>医技专业晋升高级职称工作量要求</w:t>
      </w:r>
    </w:p>
    <w:tbl>
      <w:tblPr>
        <w:tblStyle w:val="8"/>
        <w:tblW w:w="13466" w:type="dxa"/>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1134"/>
        <w:gridCol w:w="3969"/>
        <w:gridCol w:w="4253"/>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1559"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评价项目</w:t>
            </w:r>
          </w:p>
        </w:tc>
        <w:tc>
          <w:tcPr>
            <w:tcW w:w="1134"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单位</w:t>
            </w:r>
          </w:p>
        </w:tc>
        <w:tc>
          <w:tcPr>
            <w:tcW w:w="3969"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晋升副主任</w:t>
            </w:r>
            <w:r>
              <w:rPr>
                <w:rFonts w:hint="eastAsia" w:ascii="黑体" w:hAnsi="黑体" w:eastAsia="黑体"/>
                <w:color w:val="000000" w:themeColor="text1"/>
                <w:sz w:val="24"/>
                <w:szCs w:val="24"/>
                <w:lang w:eastAsia="zh-CN"/>
                <w14:textFill>
                  <w14:solidFill>
                    <w14:schemeClr w14:val="tx1"/>
                  </w14:solidFill>
                </w14:textFill>
              </w:rPr>
              <w:t>技</w:t>
            </w:r>
            <w:r>
              <w:rPr>
                <w:rFonts w:ascii="黑体" w:hAnsi="黑体" w:eastAsia="黑体"/>
                <w:color w:val="000000" w:themeColor="text1"/>
                <w:sz w:val="24"/>
                <w:szCs w:val="24"/>
                <w14:textFill>
                  <w14:solidFill>
                    <w14:schemeClr w14:val="tx1"/>
                  </w14:solidFill>
                </w14:textFill>
              </w:rPr>
              <w:t>师</w:t>
            </w:r>
          </w:p>
        </w:tc>
        <w:tc>
          <w:tcPr>
            <w:tcW w:w="4253"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晋升主任</w:t>
            </w:r>
            <w:r>
              <w:rPr>
                <w:rFonts w:hint="eastAsia" w:ascii="黑体" w:hAnsi="黑体" w:eastAsia="黑体"/>
                <w:color w:val="000000" w:themeColor="text1"/>
                <w:sz w:val="24"/>
                <w:szCs w:val="24"/>
                <w:lang w:eastAsia="zh-CN"/>
                <w14:textFill>
                  <w14:solidFill>
                    <w14:schemeClr w14:val="tx1"/>
                  </w14:solidFill>
                </w14:textFill>
              </w:rPr>
              <w:t>技</w:t>
            </w:r>
            <w:r>
              <w:rPr>
                <w:rFonts w:ascii="黑体" w:hAnsi="黑体" w:eastAsia="黑体"/>
                <w:color w:val="000000" w:themeColor="text1"/>
                <w:sz w:val="24"/>
                <w:szCs w:val="24"/>
                <w14:textFill>
                  <w14:solidFill>
                    <w14:schemeClr w14:val="tx1"/>
                  </w14:solidFill>
                </w14:textFill>
              </w:rPr>
              <w:t>师</w:t>
            </w:r>
          </w:p>
        </w:tc>
        <w:tc>
          <w:tcPr>
            <w:tcW w:w="2551" w:type="dxa"/>
            <w:vAlign w:val="center"/>
          </w:tcPr>
          <w:p>
            <w:pPr>
              <w:widowControl/>
              <w:jc w:val="center"/>
              <w:rPr>
                <w:rFonts w:ascii="黑体" w:hAnsi="黑体" w:eastAsia="黑体"/>
                <w:color w:val="000000" w:themeColor="text1"/>
                <w:sz w:val="24"/>
                <w:szCs w:val="24"/>
                <w14:textFill>
                  <w14:solidFill>
                    <w14:schemeClr w14:val="tx1"/>
                  </w14:solidFill>
                </w14:textFill>
              </w:rPr>
            </w:pPr>
            <w:r>
              <w:rPr>
                <w:rFonts w:ascii="黑体" w:hAnsi="黑体" w:eastAsia="黑体"/>
                <w:color w:val="000000" w:themeColor="text1"/>
                <w:sz w:val="24"/>
                <w:szCs w:val="24"/>
                <w14:textFill>
                  <w14:solidFill>
                    <w14:schemeClr w14:val="tx1"/>
                  </w14:solidFill>
                </w14:textFill>
              </w:rPr>
              <w:t>适用专业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before="198"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工作时间</w:t>
            </w:r>
          </w:p>
        </w:tc>
        <w:tc>
          <w:tcPr>
            <w:tcW w:w="1134"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周</w:t>
            </w:r>
          </w:p>
        </w:tc>
        <w:tc>
          <w:tcPr>
            <w:tcW w:w="3969" w:type="dxa"/>
            <w:vAlign w:val="center"/>
          </w:tcPr>
          <w:p>
            <w:pPr>
              <w:pStyle w:val="13"/>
              <w:tabs>
                <w:tab w:val="left" w:pos="4180"/>
              </w:tabs>
              <w:spacing w:before="198" w:line="252" w:lineRule="auto"/>
              <w:ind w:right="3"/>
              <w:jc w:val="both"/>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担任主管技师期间</w:t>
            </w:r>
            <w:r>
              <w:rPr>
                <w:rFonts w:hint="eastAsia" w:ascii="仿宋" w:hAnsi="仿宋" w:eastAsia="仿宋"/>
                <w:color w:val="000000" w:themeColor="text1"/>
                <w:sz w:val="24"/>
                <w:szCs w:val="24"/>
                <w14:textFill>
                  <w14:solidFill>
                    <w14:schemeClr w14:val="tx1"/>
                  </w14:solidFill>
                </w14:textFill>
              </w:rPr>
              <w:t>，平均每年参加本专业工作时间不少于40周</w:t>
            </w:r>
          </w:p>
        </w:tc>
        <w:tc>
          <w:tcPr>
            <w:tcW w:w="4253" w:type="dxa"/>
            <w:vAlign w:val="center"/>
          </w:tcPr>
          <w:p>
            <w:pPr>
              <w:pStyle w:val="13"/>
              <w:tabs>
                <w:tab w:val="left" w:pos="4180"/>
              </w:tabs>
              <w:spacing w:before="198" w:line="252" w:lineRule="auto"/>
              <w:ind w:right="3"/>
              <w:jc w:val="both"/>
              <w:rPr>
                <w:rFonts w:ascii="仿宋" w:hAnsi="仿宋" w:eastAsia="仿宋"/>
                <w:color w:val="000000" w:themeColor="text1"/>
                <w:sz w:val="24"/>
                <w:szCs w:val="24"/>
                <w:lang w:val="en"/>
                <w14:textFill>
                  <w14:solidFill>
                    <w14:schemeClr w14:val="tx1"/>
                  </w14:solidFill>
                </w14:textFill>
              </w:rPr>
            </w:pPr>
            <w:r>
              <w:rPr>
                <w:rFonts w:hint="eastAsia" w:ascii="仿宋" w:hAnsi="仿宋" w:eastAsia="仿宋"/>
                <w:color w:val="000000" w:themeColor="text1"/>
                <w:sz w:val="24"/>
                <w:szCs w:val="24"/>
                <w:lang w:val="en"/>
                <w14:textFill>
                  <w14:solidFill>
                    <w14:schemeClr w14:val="tx1"/>
                  </w14:solidFill>
                </w14:textFill>
              </w:rPr>
              <w:t>担任副主任技师期间，平均每年参加本专业工作时间不少于35周。</w:t>
            </w:r>
          </w:p>
        </w:tc>
        <w:tc>
          <w:tcPr>
            <w:tcW w:w="2551" w:type="dxa"/>
            <w:vAlign w:val="center"/>
          </w:tcPr>
          <w:p>
            <w:pPr>
              <w:pStyle w:val="13"/>
              <w:tabs>
                <w:tab w:val="left" w:pos="4180"/>
              </w:tabs>
              <w:spacing w:before="198" w:line="252" w:lineRule="auto"/>
              <w:ind w:right="3"/>
              <w:jc w:val="both"/>
              <w:rPr>
                <w:rFonts w:ascii="仿宋" w:hAnsi="仿宋" w:eastAsia="仿宋"/>
                <w:color w:val="000000" w:themeColor="text1"/>
                <w:sz w:val="24"/>
                <w:szCs w:val="24"/>
                <w:lang w:val="en"/>
                <w14:textFill>
                  <w14:solidFill>
                    <w14:schemeClr w14:val="tx1"/>
                  </w14:solidFill>
                </w14:textFill>
              </w:rPr>
            </w:pPr>
            <w:r>
              <w:rPr>
                <w:rFonts w:hint="eastAsia" w:ascii="仿宋" w:hAnsi="仿宋" w:eastAsia="仿宋"/>
                <w:color w:val="000000" w:themeColor="text1"/>
                <w:sz w:val="24"/>
                <w:szCs w:val="24"/>
                <w:lang w:val="en"/>
                <w14:textFill>
                  <w14:solidFill>
                    <w14:schemeClr w14:val="tx1"/>
                  </w14:solidFill>
                </w14:textFill>
              </w:rPr>
              <w:t>所有专业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spacing w:line="249" w:lineRule="auto"/>
              <w:ind w:right="22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病历编码数量及修改病历编码数量</w:t>
            </w:r>
          </w:p>
        </w:tc>
        <w:tc>
          <w:tcPr>
            <w:tcW w:w="1134" w:type="dxa"/>
            <w:vAlign w:val="center"/>
          </w:tcPr>
          <w:p>
            <w:pPr>
              <w:pStyle w:val="13"/>
              <w:spacing w:before="164"/>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份</w:t>
            </w:r>
          </w:p>
        </w:tc>
        <w:tc>
          <w:tcPr>
            <w:tcW w:w="3969" w:type="dxa"/>
            <w:vAlign w:val="center"/>
          </w:tcPr>
          <w:p>
            <w:pPr>
              <w:pStyle w:val="13"/>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编码病历数不少于</w:t>
            </w:r>
            <w:r>
              <w:rPr>
                <w:rFonts w:hint="eastAsia" w:ascii="仿宋" w:hAnsi="仿宋" w:eastAsia="仿宋"/>
                <w:color w:val="000000" w:themeColor="text1"/>
                <w:sz w:val="24"/>
                <w:szCs w:val="24"/>
                <w:lang w:val="en-US"/>
                <w14:textFill>
                  <w14:solidFill>
                    <w14:schemeClr w14:val="tx1"/>
                  </w14:solidFill>
                </w14:textFill>
              </w:rPr>
              <w:t>5000份；修改下级技师编码病历数不少于2500份</w:t>
            </w:r>
          </w:p>
        </w:tc>
        <w:tc>
          <w:tcPr>
            <w:tcW w:w="4253" w:type="dxa"/>
            <w:vAlign w:val="center"/>
          </w:tcPr>
          <w:p>
            <w:pPr>
              <w:pStyle w:val="13"/>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编码病历数不少于</w:t>
            </w:r>
            <w:r>
              <w:rPr>
                <w:rFonts w:hint="eastAsia" w:ascii="仿宋" w:hAnsi="仿宋" w:eastAsia="仿宋"/>
                <w:color w:val="000000" w:themeColor="text1"/>
                <w:sz w:val="24"/>
                <w:szCs w:val="24"/>
                <w:lang w:val="en-US"/>
                <w14:textFill>
                  <w14:solidFill>
                    <w14:schemeClr w14:val="tx1"/>
                  </w14:solidFill>
                </w14:textFill>
              </w:rPr>
              <w:t>5000份/年；修改下级技师编码病历数不少于2500份/年</w:t>
            </w:r>
          </w:p>
        </w:tc>
        <w:tc>
          <w:tcPr>
            <w:tcW w:w="2551" w:type="dxa"/>
            <w:vAlign w:val="center"/>
          </w:tcPr>
          <w:p>
            <w:pPr>
              <w:pStyle w:val="13"/>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病案信息技术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line="249" w:lineRule="auto"/>
              <w:ind w:right="227"/>
              <w:jc w:val="center"/>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完成检测项目</w:t>
            </w:r>
          </w:p>
        </w:tc>
        <w:tc>
          <w:tcPr>
            <w:tcW w:w="1134"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份</w:t>
            </w:r>
            <w:r>
              <w:rPr>
                <w:rFonts w:hint="eastAsia" w:ascii="仿宋" w:hAnsi="仿宋" w:eastAsia="仿宋"/>
                <w:color w:val="000000" w:themeColor="text1"/>
                <w:sz w:val="24"/>
                <w:szCs w:val="24"/>
                <w14:textFill>
                  <w14:solidFill>
                    <w14:schemeClr w14:val="tx1"/>
                  </w14:solidFill>
                </w14:textFill>
              </w:rPr>
              <w:t>/项</w:t>
            </w:r>
          </w:p>
        </w:tc>
        <w:tc>
          <w:tcPr>
            <w:tcW w:w="3969"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完成专业检测项目不少于50项，</w:t>
            </w:r>
            <w:r>
              <w:rPr>
                <w:rFonts w:ascii="仿宋" w:hAnsi="仿宋" w:eastAsia="仿宋"/>
                <w:color w:val="000000" w:themeColor="text1"/>
                <w:sz w:val="24"/>
                <w:szCs w:val="24"/>
                <w:lang w:val="en-US"/>
                <w14:textFill>
                  <w14:solidFill>
                    <w14:schemeClr w14:val="tx1"/>
                  </w14:solidFill>
                </w14:textFill>
              </w:rPr>
              <w:t>完成专业检验报告</w:t>
            </w:r>
            <w:r>
              <w:rPr>
                <w:rFonts w:hint="eastAsia" w:ascii="仿宋" w:hAnsi="仿宋" w:eastAsia="仿宋"/>
                <w:color w:val="000000" w:themeColor="text1"/>
                <w:sz w:val="24"/>
                <w:szCs w:val="24"/>
                <w:lang w:val="en-US"/>
                <w14:textFill>
                  <w14:solidFill>
                    <w14:schemeClr w14:val="tx1"/>
                  </w14:solidFill>
                </w14:textFill>
              </w:rPr>
              <w:t>/技术报告/检测记录不少于30份</w:t>
            </w:r>
          </w:p>
        </w:tc>
        <w:tc>
          <w:tcPr>
            <w:tcW w:w="4253"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完成专业检测项目不少于50项，</w:t>
            </w:r>
            <w:r>
              <w:rPr>
                <w:rFonts w:ascii="仿宋" w:hAnsi="仿宋" w:eastAsia="仿宋"/>
                <w:color w:val="000000" w:themeColor="text1"/>
                <w:sz w:val="24"/>
                <w:szCs w:val="24"/>
                <w:lang w:val="en-US"/>
                <w14:textFill>
                  <w14:solidFill>
                    <w14:schemeClr w14:val="tx1"/>
                  </w14:solidFill>
                </w14:textFill>
              </w:rPr>
              <w:t>完成专业检验报告</w:t>
            </w:r>
            <w:r>
              <w:rPr>
                <w:rFonts w:hint="eastAsia" w:ascii="仿宋" w:hAnsi="仿宋" w:eastAsia="仿宋"/>
                <w:color w:val="000000" w:themeColor="text1"/>
                <w:sz w:val="24"/>
                <w:szCs w:val="24"/>
                <w:lang w:val="en-US"/>
                <w14:textFill>
                  <w14:solidFill>
                    <w14:schemeClr w14:val="tx1"/>
                  </w14:solidFill>
                </w14:textFill>
              </w:rPr>
              <w:t>/技术报告/检测记录不少于30份</w:t>
            </w:r>
          </w:p>
        </w:tc>
        <w:tc>
          <w:tcPr>
            <w:tcW w:w="2551"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微生物检验技术</w:t>
            </w:r>
            <w:r>
              <w:rPr>
                <w:rFonts w:hint="eastAsia" w:ascii="仿宋" w:hAnsi="仿宋" w:eastAsia="仿宋"/>
                <w:color w:val="000000" w:themeColor="text1"/>
                <w:sz w:val="24"/>
                <w:szCs w:val="24"/>
                <w:lang w:val="en-US"/>
                <w14:textFill>
                  <w14:solidFill>
                    <w14:schemeClr w14:val="tx1"/>
                  </w14:solidFill>
                </w14:textFill>
              </w:rPr>
              <w:t>、</w:t>
            </w:r>
            <w:r>
              <w:rPr>
                <w:rFonts w:ascii="仿宋" w:hAnsi="仿宋" w:eastAsia="仿宋"/>
                <w:color w:val="000000" w:themeColor="text1"/>
                <w:sz w:val="24"/>
                <w:szCs w:val="24"/>
                <w:lang w:val="en-US"/>
                <w14:textFill>
                  <w14:solidFill>
                    <w14:schemeClr w14:val="tx1"/>
                  </w14:solidFill>
                </w14:textFill>
              </w:rPr>
              <w:t>理化检验技术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559" w:type="dxa"/>
            <w:vAlign w:val="center"/>
          </w:tcPr>
          <w:p>
            <w:pPr>
              <w:pStyle w:val="13"/>
              <w:tabs>
                <w:tab w:val="left" w:pos="4180"/>
              </w:tabs>
              <w:spacing w:before="1"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签发检查报告份数</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不少于</w:t>
            </w:r>
            <w:r>
              <w:rPr>
                <w:rFonts w:hint="eastAsia" w:ascii="仿宋" w:hAnsi="仿宋" w:eastAsia="仿宋" w:cs="LinTimes"/>
                <w:color w:val="000000" w:themeColor="text1"/>
                <w:kern w:val="0"/>
                <w:sz w:val="24"/>
                <w:szCs w:val="24"/>
                <w:lang w:bidi="ar"/>
                <w14:textFill>
                  <w14:solidFill>
                    <w14:schemeClr w14:val="tx1"/>
                  </w14:solidFill>
                </w14:textFill>
              </w:rPr>
              <w:t>6000</w:t>
            </w:r>
            <w:r>
              <w:rPr>
                <w:rFonts w:ascii="仿宋" w:hAnsi="仿宋" w:eastAsia="仿宋" w:cs="LinTimes"/>
                <w:color w:val="000000" w:themeColor="text1"/>
                <w:kern w:val="0"/>
                <w:sz w:val="24"/>
                <w:szCs w:val="24"/>
                <w:lang w:bidi="ar"/>
                <w14:textFill>
                  <w14:solidFill>
                    <w14:schemeClr w14:val="tx1"/>
                  </w14:solidFill>
                </w14:textFill>
              </w:rPr>
              <w:t>份</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不少于5000份</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临床医学检验技术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559" w:type="dxa"/>
            <w:vAlign w:val="center"/>
          </w:tcPr>
          <w:p>
            <w:pPr>
              <w:pStyle w:val="13"/>
              <w:tabs>
                <w:tab w:val="left" w:pos="4180"/>
              </w:tabs>
              <w:spacing w:before="1" w:line="252"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配血次数</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次</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不少于4000次</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不少于2000次</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输血技术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1559" w:type="dxa"/>
            <w:vAlign w:val="center"/>
          </w:tcPr>
          <w:p>
            <w:pPr>
              <w:pStyle w:val="13"/>
              <w:tabs>
                <w:tab w:val="left" w:pos="4180"/>
              </w:tabs>
              <w:spacing w:before="1" w:line="252" w:lineRule="auto"/>
              <w:ind w:right="107"/>
              <w:jc w:val="center"/>
              <w:rPr>
                <w:rFonts w:ascii="仿宋" w:hAnsi="仿宋" w:eastAsia="仿宋"/>
                <w:color w:val="000000" w:themeColor="text1"/>
                <w:sz w:val="24"/>
                <w:szCs w:val="24"/>
                <w14:textFill>
                  <w14:solidFill>
                    <w14:schemeClr w14:val="tx1"/>
                  </w14:solidFill>
                </w14:textFill>
              </w:rPr>
            </w:pPr>
            <w:r>
              <w:rPr>
                <w:rFonts w:hint="eastAsia" w:ascii="仿宋" w:hAnsi="仿宋" w:eastAsia="仿宋"/>
                <w:color w:val="000000" w:themeColor="text1"/>
                <w:sz w:val="24"/>
                <w:szCs w:val="24"/>
                <w14:textFill>
                  <w14:solidFill>
                    <w14:schemeClr w14:val="tx1"/>
                  </w14:solidFill>
                </w14:textFill>
              </w:rPr>
              <w:t>技术操作次数</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次</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不少于4000次</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不少于3000次</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核医学技术</w:t>
            </w:r>
            <w:r>
              <w:rPr>
                <w:rFonts w:hint="eastAsia" w:ascii="仿宋" w:hAnsi="仿宋" w:eastAsia="仿宋" w:cs="LinTimes"/>
                <w:color w:val="000000" w:themeColor="text1"/>
                <w:kern w:val="0"/>
                <w:sz w:val="24"/>
                <w:szCs w:val="24"/>
                <w:lang w:bidi="ar"/>
                <w14:textFill>
                  <w14:solidFill>
                    <w14:schemeClr w14:val="tx1"/>
                  </w14:solidFill>
                </w14:textFill>
              </w:rPr>
              <w:t>、、肿瘤放射治疗技术、</w:t>
            </w:r>
            <w:r>
              <w:rPr>
                <w:rFonts w:ascii="仿宋" w:hAnsi="仿宋" w:eastAsia="仿宋" w:cs="LinTimes"/>
                <w:color w:val="000000" w:themeColor="text1"/>
                <w:kern w:val="0"/>
                <w:sz w:val="24"/>
                <w:szCs w:val="24"/>
                <w:lang w:bidi="ar"/>
                <w14:textFill>
                  <w14:solidFill>
                    <w14:schemeClr w14:val="tx1"/>
                  </w14:solidFill>
                </w14:textFill>
              </w:rPr>
              <w:t>神经电生理</w:t>
            </w:r>
            <w:r>
              <w:rPr>
                <w:rFonts w:hint="eastAsia" w:ascii="仿宋" w:hAnsi="仿宋" w:eastAsia="仿宋" w:cs="LinTimes"/>
                <w:color w:val="000000" w:themeColor="text1"/>
                <w:kern w:val="0"/>
                <w:sz w:val="24"/>
                <w:szCs w:val="24"/>
                <w:lang w:bidi="ar"/>
                <w14:textFill>
                  <w14:solidFill>
                    <w14:schemeClr w14:val="tx1"/>
                  </w14:solidFill>
                </w14:textFill>
              </w:rPr>
              <w:t>（脑电图）技术、口腔医学技术、消毒技术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before="170" w:line="249" w:lineRule="auto"/>
              <w:ind w:right="107"/>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检查次数</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不少于10</w:t>
            </w:r>
            <w:r>
              <w:rPr>
                <w:rFonts w:ascii="仿宋" w:hAnsi="仿宋" w:eastAsia="仿宋" w:cs="LinTimes"/>
                <w:color w:val="000000" w:themeColor="text1"/>
                <w:kern w:val="0"/>
                <w:sz w:val="24"/>
                <w:szCs w:val="24"/>
                <w:lang w:bidi="ar"/>
                <w14:textFill>
                  <w14:solidFill>
                    <w14:schemeClr w14:val="tx1"/>
                  </w14:solidFill>
                </w14:textFill>
              </w:rPr>
              <w:t>000次</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不少于10</w:t>
            </w:r>
            <w:r>
              <w:rPr>
                <w:rFonts w:ascii="仿宋" w:hAnsi="仿宋" w:eastAsia="仿宋" w:cs="LinTimes"/>
                <w:color w:val="000000" w:themeColor="text1"/>
                <w:kern w:val="0"/>
                <w:sz w:val="24"/>
                <w:szCs w:val="24"/>
                <w:lang w:bidi="ar"/>
                <w14:textFill>
                  <w14:solidFill>
                    <w14:schemeClr w14:val="tx1"/>
                  </w14:solidFill>
                </w14:textFill>
              </w:rPr>
              <w:t>000次</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放射医学技术、超声医学技术</w:t>
            </w:r>
            <w:r>
              <w:rPr>
                <w:rFonts w:hint="eastAsia" w:ascii="仿宋" w:hAnsi="仿宋" w:eastAsia="仿宋" w:cs="LinTimes"/>
                <w:color w:val="000000" w:themeColor="text1"/>
                <w:kern w:val="0"/>
                <w:sz w:val="24"/>
                <w:szCs w:val="24"/>
                <w:lang w:bidi="ar"/>
                <w14:textFill>
                  <w14:solidFill>
                    <w14:schemeClr w14:val="tx1"/>
                  </w14:solidFill>
                </w14:textFill>
              </w:rPr>
              <w:t>、</w:t>
            </w:r>
            <w:r>
              <w:rPr>
                <w:rFonts w:ascii="仿宋" w:hAnsi="仿宋" w:eastAsia="仿宋" w:cs="LinTimes"/>
                <w:color w:val="000000" w:themeColor="text1"/>
                <w:kern w:val="0"/>
                <w:sz w:val="24"/>
                <w:szCs w:val="24"/>
                <w:lang w:bidi="ar"/>
                <w14:textFill>
                  <w14:solidFill>
                    <w14:schemeClr w14:val="tx1"/>
                  </w14:solidFill>
                </w14:textFill>
              </w:rPr>
              <w:t>心电图技术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line="249" w:lineRule="auto"/>
              <w:ind w:right="227"/>
              <w:jc w:val="center"/>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病理制片数量</w:t>
            </w:r>
          </w:p>
        </w:tc>
        <w:tc>
          <w:tcPr>
            <w:tcW w:w="1134"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份</w:t>
            </w:r>
          </w:p>
        </w:tc>
        <w:tc>
          <w:tcPr>
            <w:tcW w:w="3969"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不少于20000次</w:t>
            </w:r>
          </w:p>
        </w:tc>
        <w:tc>
          <w:tcPr>
            <w:tcW w:w="4253" w:type="dxa"/>
            <w:vAlign w:val="center"/>
          </w:tcPr>
          <w:p>
            <w:pPr>
              <w:widowControl/>
              <w:jc w:val="center"/>
              <w:textAlignment w:val="center"/>
              <w:rPr>
                <w:rFonts w:ascii="仿宋" w:hAnsi="仿宋" w:eastAsia="仿宋" w:cs="LinTimes"/>
                <w:color w:val="000000" w:themeColor="text1"/>
                <w:kern w:val="0"/>
                <w:sz w:val="24"/>
                <w:szCs w:val="24"/>
                <w:lang w:bidi="ar"/>
                <w14:textFill>
                  <w14:solidFill>
                    <w14:schemeClr w14:val="tx1"/>
                  </w14:solidFill>
                </w14:textFill>
              </w:rPr>
            </w:pPr>
            <w:r>
              <w:rPr>
                <w:rFonts w:hint="eastAsia" w:ascii="仿宋" w:hAnsi="仿宋" w:eastAsia="仿宋" w:cs="LinTimes"/>
                <w:color w:val="000000" w:themeColor="text1"/>
                <w:kern w:val="0"/>
                <w:sz w:val="24"/>
                <w:szCs w:val="24"/>
                <w:lang w:bidi="ar"/>
                <w14:textFill>
                  <w14:solidFill>
                    <w14:schemeClr w14:val="tx1"/>
                  </w14:solidFill>
                </w14:textFill>
              </w:rPr>
              <w:t>不少于15000次</w:t>
            </w:r>
          </w:p>
        </w:tc>
        <w:tc>
          <w:tcPr>
            <w:tcW w:w="2551" w:type="dxa"/>
            <w:vAlign w:val="center"/>
          </w:tcPr>
          <w:p>
            <w:pPr>
              <w:widowControl/>
              <w:textAlignment w:val="center"/>
              <w:rPr>
                <w:rFonts w:ascii="仿宋" w:hAnsi="仿宋" w:eastAsia="仿宋" w:cs="LinTimes"/>
                <w:color w:val="000000" w:themeColor="text1"/>
                <w:kern w:val="0"/>
                <w:sz w:val="24"/>
                <w:szCs w:val="24"/>
                <w:lang w:bidi="ar"/>
                <w14:textFill>
                  <w14:solidFill>
                    <w14:schemeClr w14:val="tx1"/>
                  </w14:solidFill>
                </w14:textFill>
              </w:rPr>
            </w:pPr>
            <w:r>
              <w:rPr>
                <w:rFonts w:ascii="仿宋" w:hAnsi="仿宋" w:eastAsia="仿宋" w:cs="LinTimes"/>
                <w:color w:val="000000" w:themeColor="text1"/>
                <w:kern w:val="0"/>
                <w:sz w:val="24"/>
                <w:szCs w:val="24"/>
                <w:lang w:bidi="ar"/>
                <w14:textFill>
                  <w14:solidFill>
                    <w14:schemeClr w14:val="tx1"/>
                  </w14:solidFill>
                </w14:textFill>
              </w:rPr>
              <w:t>病理学技术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vAlign w:val="center"/>
          </w:tcPr>
          <w:p>
            <w:pPr>
              <w:pStyle w:val="13"/>
              <w:tabs>
                <w:tab w:val="left" w:pos="4180"/>
              </w:tabs>
              <w:spacing w:line="249" w:lineRule="auto"/>
              <w:ind w:right="227"/>
              <w:jc w:val="center"/>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参与治疗人次</w:t>
            </w:r>
          </w:p>
        </w:tc>
        <w:tc>
          <w:tcPr>
            <w:tcW w:w="1134" w:type="dxa"/>
            <w:vAlign w:val="center"/>
          </w:tcPr>
          <w:p>
            <w:pPr>
              <w:pStyle w:val="13"/>
              <w:tabs>
                <w:tab w:val="left" w:pos="4180"/>
              </w:tabs>
              <w:jc w:val="center"/>
              <w:rPr>
                <w:rFonts w:ascii="仿宋" w:hAnsi="仿宋" w:eastAsia="仿宋"/>
                <w:color w:val="000000" w:themeColor="text1"/>
                <w:sz w:val="24"/>
                <w:szCs w:val="24"/>
                <w14:textFill>
                  <w14:solidFill>
                    <w14:schemeClr w14:val="tx1"/>
                  </w14:solidFill>
                </w14:textFill>
              </w:rPr>
            </w:pPr>
            <w:r>
              <w:rPr>
                <w:rFonts w:ascii="仿宋" w:hAnsi="仿宋" w:eastAsia="仿宋"/>
                <w:color w:val="000000" w:themeColor="text1"/>
                <w:sz w:val="24"/>
                <w:szCs w:val="24"/>
                <w14:textFill>
                  <w14:solidFill>
                    <w14:schemeClr w14:val="tx1"/>
                  </w14:solidFill>
                </w14:textFill>
              </w:rPr>
              <w:t>人次</w:t>
            </w:r>
          </w:p>
        </w:tc>
        <w:tc>
          <w:tcPr>
            <w:tcW w:w="3969" w:type="dxa"/>
            <w:vAlign w:val="center"/>
          </w:tcPr>
          <w:p>
            <w:pPr>
              <w:pStyle w:val="13"/>
              <w:tabs>
                <w:tab w:val="left" w:pos="4180"/>
              </w:tabs>
              <w:jc w:val="center"/>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不少于5000人</w:t>
            </w:r>
          </w:p>
        </w:tc>
        <w:tc>
          <w:tcPr>
            <w:tcW w:w="4253" w:type="dxa"/>
            <w:vAlign w:val="center"/>
          </w:tcPr>
          <w:p>
            <w:pPr>
              <w:pStyle w:val="13"/>
              <w:tabs>
                <w:tab w:val="left" w:pos="4180"/>
              </w:tabs>
              <w:jc w:val="center"/>
              <w:rPr>
                <w:rFonts w:ascii="仿宋" w:hAnsi="仿宋" w:eastAsia="仿宋"/>
                <w:color w:val="000000" w:themeColor="text1"/>
                <w:sz w:val="24"/>
                <w:szCs w:val="24"/>
                <w:lang w:val="en-US"/>
                <w14:textFill>
                  <w14:solidFill>
                    <w14:schemeClr w14:val="tx1"/>
                  </w14:solidFill>
                </w14:textFill>
              </w:rPr>
            </w:pPr>
            <w:r>
              <w:rPr>
                <w:rFonts w:hint="eastAsia" w:ascii="仿宋" w:hAnsi="仿宋" w:eastAsia="仿宋"/>
                <w:color w:val="000000" w:themeColor="text1"/>
                <w:sz w:val="24"/>
                <w:szCs w:val="24"/>
                <w:lang w:val="en-US"/>
                <w14:textFill>
                  <w14:solidFill>
                    <w14:schemeClr w14:val="tx1"/>
                  </w14:solidFill>
                </w14:textFill>
              </w:rPr>
              <w:t>不少于3000人次</w:t>
            </w:r>
          </w:p>
        </w:tc>
        <w:tc>
          <w:tcPr>
            <w:tcW w:w="2551" w:type="dxa"/>
            <w:vAlign w:val="center"/>
          </w:tcPr>
          <w:p>
            <w:pPr>
              <w:pStyle w:val="13"/>
              <w:tabs>
                <w:tab w:val="left" w:pos="4180"/>
              </w:tabs>
              <w:jc w:val="both"/>
              <w:rPr>
                <w:rFonts w:ascii="仿宋" w:hAnsi="仿宋" w:eastAsia="仿宋"/>
                <w:color w:val="000000" w:themeColor="text1"/>
                <w:sz w:val="24"/>
                <w:szCs w:val="24"/>
                <w:lang w:val="en-US"/>
                <w14:textFill>
                  <w14:solidFill>
                    <w14:schemeClr w14:val="tx1"/>
                  </w14:solidFill>
                </w14:textFill>
              </w:rPr>
            </w:pPr>
            <w:r>
              <w:rPr>
                <w:rFonts w:ascii="仿宋" w:hAnsi="仿宋" w:eastAsia="仿宋"/>
                <w:color w:val="000000" w:themeColor="text1"/>
                <w:sz w:val="24"/>
                <w:szCs w:val="24"/>
                <w:lang w:val="en-US"/>
                <w14:textFill>
                  <w14:solidFill>
                    <w14:schemeClr w14:val="tx1"/>
                  </w14:solidFill>
                </w14:textFill>
              </w:rPr>
              <w:t>康复医学技术</w:t>
            </w:r>
          </w:p>
        </w:tc>
      </w:tr>
    </w:tbl>
    <w:p>
      <w:pPr>
        <w:pStyle w:val="5"/>
        <w:shd w:val="clear" w:color="auto" w:fill="FFFFFF"/>
        <w:spacing w:before="0" w:beforeAutospacing="0" w:after="0" w:afterAutospacing="0"/>
        <w:rPr>
          <w:rFonts w:ascii="楷体" w:hAnsi="楷体" w:eastAsia="楷体"/>
          <w:color w:val="000000" w:themeColor="text1"/>
          <w14:textFill>
            <w14:solidFill>
              <w14:schemeClr w14:val="tx1"/>
            </w14:solidFill>
          </w14:textFill>
        </w:rPr>
      </w:pPr>
      <w:r>
        <w:rPr>
          <w:rFonts w:ascii="楷体" w:hAnsi="楷体" w:eastAsia="楷体"/>
          <w:color w:val="000000" w:themeColor="text1"/>
          <w14:textFill>
            <w14:solidFill>
              <w14:schemeClr w14:val="tx1"/>
            </w14:solidFill>
          </w14:textFill>
        </w:rPr>
        <w:t>注</w:t>
      </w:r>
      <w:r>
        <w:rPr>
          <w:rFonts w:hint="eastAsia" w:ascii="楷体" w:hAnsi="楷体" w:eastAsia="楷体"/>
          <w:color w:val="000000" w:themeColor="text1"/>
          <w14:textFill>
            <w14:solidFill>
              <w14:schemeClr w14:val="tx1"/>
            </w14:solidFill>
          </w14:textFill>
        </w:rPr>
        <w:t>：工作量是指中级晋升副高期间或副高晋升正高期间完成的工作量，从聘任时间开始计算。</w:t>
      </w:r>
    </w:p>
    <w:p>
      <w:pPr>
        <w:tabs>
          <w:tab w:val="left" w:pos="795"/>
        </w:tabs>
        <w:spacing w:before="12"/>
        <w:rPr>
          <w:rFonts w:ascii="楷体" w:hAnsi="楷体" w:eastAsia="楷体"/>
          <w:color w:val="000000" w:themeColor="text1"/>
          <w:sz w:val="24"/>
          <w14:textFill>
            <w14:solidFill>
              <w14:schemeClr w14:val="tx1"/>
            </w14:solidFill>
          </w14:textFill>
        </w:rPr>
      </w:pPr>
    </w:p>
    <w:sectPr>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LinTimes">
    <w:altName w:val="Times New Roman"/>
    <w:panose1 w:val="00000000000000000000"/>
    <w:charset w:val="00"/>
    <w:family w:val="auto"/>
    <w:pitch w:val="default"/>
    <w:sig w:usb0="00000000" w:usb1="00000000" w:usb2="00000008"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0"/>
      </w:rPr>
    </w:pPr>
    <w:r>
      <w:rPr>
        <w:sz w:val="32"/>
      </w:rPr>
      <mc:AlternateContent>
        <mc:Choice Requires="wps">
          <w:drawing>
            <wp:anchor distT="0" distB="0" distL="114300" distR="114300" simplePos="0" relativeHeight="251659264" behindDoc="1" locked="0" layoutInCell="1" allowOverlap="1">
              <wp:simplePos x="0" y="0"/>
              <wp:positionH relativeFrom="page">
                <wp:posOffset>5022215</wp:posOffset>
              </wp:positionH>
              <wp:positionV relativeFrom="page">
                <wp:posOffset>6791960</wp:posOffset>
              </wp:positionV>
              <wp:extent cx="647700" cy="224790"/>
              <wp:effectExtent l="2540" t="635" r="0" b="3175"/>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647700" cy="224790"/>
                      </a:xfrm>
                      <a:prstGeom prst="rect">
                        <a:avLst/>
                      </a:prstGeom>
                      <a:noFill/>
                      <a:ln>
                        <a:noFill/>
                      </a:ln>
                    </wps:spPr>
                    <wps:txbx>
                      <w:txbxContent>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95.45pt;margin-top:534.8pt;height:17.7pt;width:51pt;mso-position-horizontal-relative:page;mso-position-vertical-relative:page;z-index:-251657216;mso-width-relative:page;mso-height-relative:page;" filled="f" stroked="f" coordsize="21600,21600" o:gfxdata="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F2rgfvZAAAADQEAAA8AAAAAAAAAAQAgAAAAIgAAAGRycy9kb3ducmV2LnhtbFBLAQIU&#10;ABQAAAAIAIdO4kAlQxd28gEAALYDAAAOAAAAAAAAAAEAIAAAACgBAABkcnMvZTJvRG9jLnhtbFBL&#10;BQYAAAAABgAGAFkBAACMBQAAAAA=&#10;">
              <v:fill on="f" focussize="0,0"/>
              <v:stroke on="f"/>
              <v:imagedata o:title=""/>
              <o:lock v:ext="edit" aspectratio="f"/>
              <v:textbox inset="0mm,0mm,0mm,0mm">
                <w:txbxConten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08"/>
    <w:rsid w:val="0002185B"/>
    <w:rsid w:val="00030B06"/>
    <w:rsid w:val="00030DC7"/>
    <w:rsid w:val="0003463C"/>
    <w:rsid w:val="00034DFE"/>
    <w:rsid w:val="00051553"/>
    <w:rsid w:val="00053921"/>
    <w:rsid w:val="000547F1"/>
    <w:rsid w:val="00082A24"/>
    <w:rsid w:val="000C5FAB"/>
    <w:rsid w:val="000D011D"/>
    <w:rsid w:val="000D05D1"/>
    <w:rsid w:val="000D28B0"/>
    <w:rsid w:val="000D35CF"/>
    <w:rsid w:val="001212D7"/>
    <w:rsid w:val="00156536"/>
    <w:rsid w:val="00157FD2"/>
    <w:rsid w:val="00162B0E"/>
    <w:rsid w:val="001637F5"/>
    <w:rsid w:val="0018220D"/>
    <w:rsid w:val="001B14EE"/>
    <w:rsid w:val="001B1B96"/>
    <w:rsid w:val="001B69A2"/>
    <w:rsid w:val="001D0810"/>
    <w:rsid w:val="001D1697"/>
    <w:rsid w:val="001E3C74"/>
    <w:rsid w:val="001E53A1"/>
    <w:rsid w:val="00214D80"/>
    <w:rsid w:val="00230062"/>
    <w:rsid w:val="002303AE"/>
    <w:rsid w:val="0026314C"/>
    <w:rsid w:val="00274CA3"/>
    <w:rsid w:val="002771DE"/>
    <w:rsid w:val="00295AF8"/>
    <w:rsid w:val="002B69D9"/>
    <w:rsid w:val="002E0BD2"/>
    <w:rsid w:val="002E680A"/>
    <w:rsid w:val="002E6B9D"/>
    <w:rsid w:val="002F59A3"/>
    <w:rsid w:val="00305D0B"/>
    <w:rsid w:val="00312015"/>
    <w:rsid w:val="003148B4"/>
    <w:rsid w:val="0032448B"/>
    <w:rsid w:val="00346297"/>
    <w:rsid w:val="00353C38"/>
    <w:rsid w:val="0035478B"/>
    <w:rsid w:val="00355A8F"/>
    <w:rsid w:val="00360F4C"/>
    <w:rsid w:val="0036163A"/>
    <w:rsid w:val="00372817"/>
    <w:rsid w:val="00372FCD"/>
    <w:rsid w:val="00384E28"/>
    <w:rsid w:val="003956D6"/>
    <w:rsid w:val="00396EAC"/>
    <w:rsid w:val="003B2222"/>
    <w:rsid w:val="003B6EBA"/>
    <w:rsid w:val="003D2079"/>
    <w:rsid w:val="003E12F2"/>
    <w:rsid w:val="003E403F"/>
    <w:rsid w:val="00434093"/>
    <w:rsid w:val="00450C2E"/>
    <w:rsid w:val="0045487F"/>
    <w:rsid w:val="00461C27"/>
    <w:rsid w:val="00495BA0"/>
    <w:rsid w:val="004A2F8E"/>
    <w:rsid w:val="004E0B68"/>
    <w:rsid w:val="004E3CB4"/>
    <w:rsid w:val="004F3988"/>
    <w:rsid w:val="005003DE"/>
    <w:rsid w:val="00513AE0"/>
    <w:rsid w:val="005222D5"/>
    <w:rsid w:val="00544875"/>
    <w:rsid w:val="00561C91"/>
    <w:rsid w:val="00585E06"/>
    <w:rsid w:val="00586FEC"/>
    <w:rsid w:val="00587EE3"/>
    <w:rsid w:val="00592BEC"/>
    <w:rsid w:val="0059328B"/>
    <w:rsid w:val="005A3164"/>
    <w:rsid w:val="005B4477"/>
    <w:rsid w:val="005B75CC"/>
    <w:rsid w:val="005D7127"/>
    <w:rsid w:val="005E21ED"/>
    <w:rsid w:val="00611905"/>
    <w:rsid w:val="0063381C"/>
    <w:rsid w:val="00635A00"/>
    <w:rsid w:val="006544BD"/>
    <w:rsid w:val="006615BE"/>
    <w:rsid w:val="00670173"/>
    <w:rsid w:val="00671B92"/>
    <w:rsid w:val="00683DE7"/>
    <w:rsid w:val="00693D15"/>
    <w:rsid w:val="0069531B"/>
    <w:rsid w:val="00695CAC"/>
    <w:rsid w:val="006B1CB4"/>
    <w:rsid w:val="006E472F"/>
    <w:rsid w:val="006F2793"/>
    <w:rsid w:val="007143D4"/>
    <w:rsid w:val="00716A7D"/>
    <w:rsid w:val="00727038"/>
    <w:rsid w:val="00746661"/>
    <w:rsid w:val="007535EB"/>
    <w:rsid w:val="007625C8"/>
    <w:rsid w:val="007677C8"/>
    <w:rsid w:val="00771FFC"/>
    <w:rsid w:val="00774E5E"/>
    <w:rsid w:val="00776CA7"/>
    <w:rsid w:val="00797280"/>
    <w:rsid w:val="00797FD2"/>
    <w:rsid w:val="007A7756"/>
    <w:rsid w:val="007B23F4"/>
    <w:rsid w:val="007C020D"/>
    <w:rsid w:val="007C1B2E"/>
    <w:rsid w:val="007C30C9"/>
    <w:rsid w:val="007C53B0"/>
    <w:rsid w:val="007D2308"/>
    <w:rsid w:val="007E6DBE"/>
    <w:rsid w:val="007F4FEE"/>
    <w:rsid w:val="00802B93"/>
    <w:rsid w:val="00831F99"/>
    <w:rsid w:val="00835953"/>
    <w:rsid w:val="00842EFC"/>
    <w:rsid w:val="0085481D"/>
    <w:rsid w:val="00892187"/>
    <w:rsid w:val="00896AC2"/>
    <w:rsid w:val="008C21F4"/>
    <w:rsid w:val="008C5904"/>
    <w:rsid w:val="00903CF6"/>
    <w:rsid w:val="009048FC"/>
    <w:rsid w:val="009327FB"/>
    <w:rsid w:val="00951F6E"/>
    <w:rsid w:val="00962A87"/>
    <w:rsid w:val="00971F0B"/>
    <w:rsid w:val="00975682"/>
    <w:rsid w:val="00986DE2"/>
    <w:rsid w:val="00997A91"/>
    <w:rsid w:val="009B0837"/>
    <w:rsid w:val="009B1542"/>
    <w:rsid w:val="009B4AB7"/>
    <w:rsid w:val="009B542D"/>
    <w:rsid w:val="009C182C"/>
    <w:rsid w:val="009D0208"/>
    <w:rsid w:val="009D09D5"/>
    <w:rsid w:val="009D27B1"/>
    <w:rsid w:val="00A01574"/>
    <w:rsid w:val="00A02549"/>
    <w:rsid w:val="00A049D7"/>
    <w:rsid w:val="00A25CCD"/>
    <w:rsid w:val="00A26EC8"/>
    <w:rsid w:val="00A3635F"/>
    <w:rsid w:val="00A51DB4"/>
    <w:rsid w:val="00A5542B"/>
    <w:rsid w:val="00A87A9E"/>
    <w:rsid w:val="00A902B5"/>
    <w:rsid w:val="00AC66C2"/>
    <w:rsid w:val="00AD74FC"/>
    <w:rsid w:val="00AF2216"/>
    <w:rsid w:val="00AF65C9"/>
    <w:rsid w:val="00B1743E"/>
    <w:rsid w:val="00B22027"/>
    <w:rsid w:val="00B220E2"/>
    <w:rsid w:val="00B27096"/>
    <w:rsid w:val="00B34A89"/>
    <w:rsid w:val="00B361BD"/>
    <w:rsid w:val="00B57A0F"/>
    <w:rsid w:val="00B6525A"/>
    <w:rsid w:val="00B914E8"/>
    <w:rsid w:val="00BA3C27"/>
    <w:rsid w:val="00BA6364"/>
    <w:rsid w:val="00BB3182"/>
    <w:rsid w:val="00BC41FE"/>
    <w:rsid w:val="00BD0960"/>
    <w:rsid w:val="00BF0EBA"/>
    <w:rsid w:val="00BF250E"/>
    <w:rsid w:val="00C07787"/>
    <w:rsid w:val="00C113FE"/>
    <w:rsid w:val="00C20CAB"/>
    <w:rsid w:val="00C36D6A"/>
    <w:rsid w:val="00C41199"/>
    <w:rsid w:val="00C638DA"/>
    <w:rsid w:val="00C64219"/>
    <w:rsid w:val="00C73187"/>
    <w:rsid w:val="00C739DA"/>
    <w:rsid w:val="00C83E46"/>
    <w:rsid w:val="00C90E1C"/>
    <w:rsid w:val="00C911D5"/>
    <w:rsid w:val="00CA0AF3"/>
    <w:rsid w:val="00CA3E2E"/>
    <w:rsid w:val="00CB47AC"/>
    <w:rsid w:val="00CB5358"/>
    <w:rsid w:val="00CC003F"/>
    <w:rsid w:val="00CF034D"/>
    <w:rsid w:val="00CF72AD"/>
    <w:rsid w:val="00D01FEF"/>
    <w:rsid w:val="00D14CC7"/>
    <w:rsid w:val="00D2492E"/>
    <w:rsid w:val="00D25CE3"/>
    <w:rsid w:val="00D3053C"/>
    <w:rsid w:val="00D378A6"/>
    <w:rsid w:val="00D50B1A"/>
    <w:rsid w:val="00D556C4"/>
    <w:rsid w:val="00D634E6"/>
    <w:rsid w:val="00D6641B"/>
    <w:rsid w:val="00D73F2D"/>
    <w:rsid w:val="00D87D4F"/>
    <w:rsid w:val="00D93426"/>
    <w:rsid w:val="00DA0B21"/>
    <w:rsid w:val="00DA34D0"/>
    <w:rsid w:val="00DC55E8"/>
    <w:rsid w:val="00DD2884"/>
    <w:rsid w:val="00DE20E4"/>
    <w:rsid w:val="00DF0385"/>
    <w:rsid w:val="00E240B1"/>
    <w:rsid w:val="00E33B2B"/>
    <w:rsid w:val="00E6517C"/>
    <w:rsid w:val="00E807BD"/>
    <w:rsid w:val="00E92396"/>
    <w:rsid w:val="00EC4518"/>
    <w:rsid w:val="00EC68D6"/>
    <w:rsid w:val="00EF272A"/>
    <w:rsid w:val="00EF2DB7"/>
    <w:rsid w:val="00F0380F"/>
    <w:rsid w:val="00F07EF5"/>
    <w:rsid w:val="00F359D8"/>
    <w:rsid w:val="00F5004D"/>
    <w:rsid w:val="00F52484"/>
    <w:rsid w:val="00F73E3B"/>
    <w:rsid w:val="00F74761"/>
    <w:rsid w:val="00F8519D"/>
    <w:rsid w:val="00FA3F83"/>
    <w:rsid w:val="00FD0987"/>
    <w:rsid w:val="00FE10DE"/>
    <w:rsid w:val="00FF37F6"/>
    <w:rsid w:val="00FF4CAE"/>
    <w:rsid w:val="04AD32B5"/>
    <w:rsid w:val="0BEE16F9"/>
    <w:rsid w:val="0EE16C4E"/>
    <w:rsid w:val="15963157"/>
    <w:rsid w:val="16526560"/>
    <w:rsid w:val="19C10267"/>
    <w:rsid w:val="1E0343CE"/>
    <w:rsid w:val="20754501"/>
    <w:rsid w:val="237519F3"/>
    <w:rsid w:val="2E290218"/>
    <w:rsid w:val="2E5B7B24"/>
    <w:rsid w:val="301E39BF"/>
    <w:rsid w:val="32577591"/>
    <w:rsid w:val="33905C7B"/>
    <w:rsid w:val="37B1786B"/>
    <w:rsid w:val="392476E0"/>
    <w:rsid w:val="392A6952"/>
    <w:rsid w:val="3B271252"/>
    <w:rsid w:val="3C344F16"/>
    <w:rsid w:val="3C7866E1"/>
    <w:rsid w:val="3F3354D2"/>
    <w:rsid w:val="42D03D42"/>
    <w:rsid w:val="444F3C33"/>
    <w:rsid w:val="481132D5"/>
    <w:rsid w:val="4A054773"/>
    <w:rsid w:val="4B9C5EC5"/>
    <w:rsid w:val="4B9E4A5D"/>
    <w:rsid w:val="4E551824"/>
    <w:rsid w:val="5BD15021"/>
    <w:rsid w:val="5E423B66"/>
    <w:rsid w:val="5EF11FA4"/>
    <w:rsid w:val="66394D61"/>
    <w:rsid w:val="6E8F7417"/>
    <w:rsid w:val="78B13B95"/>
    <w:rsid w:val="7A77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4"/>
    <w:unhideWhenUsed/>
    <w:qFormat/>
    <w:uiPriority w:val="99"/>
    <w:pPr>
      <w:spacing w:after="120"/>
    </w:p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rFonts w:asciiTheme="minorHAnsi" w:hAnsiTheme="minorHAnsi" w:eastAsiaTheme="minorEastAsia"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4"/>
    <w:qFormat/>
    <w:uiPriority w:val="99"/>
    <w:rPr>
      <w:rFonts w:ascii="Calibri" w:hAnsi="Calibri"/>
      <w:kern w:val="2"/>
      <w:sz w:val="18"/>
      <w:szCs w:val="18"/>
    </w:rPr>
  </w:style>
  <w:style w:type="character" w:customStyle="1" w:styleId="10">
    <w:name w:val="页脚 Char"/>
    <w:basedOn w:val="6"/>
    <w:link w:val="3"/>
    <w:qFormat/>
    <w:uiPriority w:val="99"/>
    <w:rPr>
      <w:rFonts w:ascii="Calibri" w:hAnsi="Calibri"/>
      <w:kern w:val="2"/>
      <w:sz w:val="18"/>
      <w:szCs w:val="18"/>
    </w:rPr>
  </w:style>
  <w:style w:type="character" w:customStyle="1" w:styleId="11">
    <w:name w:val="font41"/>
    <w:qFormat/>
    <w:uiPriority w:val="0"/>
    <w:rPr>
      <w:rFonts w:hint="eastAsia" w:ascii="仿宋_GB2312" w:eastAsia="仿宋_GB2312" w:cs="仿宋_GB2312"/>
      <w:color w:val="000000"/>
      <w:sz w:val="28"/>
      <w:szCs w:val="28"/>
      <w:u w:val="none"/>
    </w:rPr>
  </w:style>
  <w:style w:type="paragraph" w:customStyle="1" w:styleId="1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13">
    <w:name w:val="Table Paragraph"/>
    <w:basedOn w:val="1"/>
    <w:qFormat/>
    <w:uiPriority w:val="1"/>
    <w:pPr>
      <w:autoSpaceDE w:val="0"/>
      <w:autoSpaceDN w:val="0"/>
      <w:jc w:val="left"/>
    </w:pPr>
    <w:rPr>
      <w:rFonts w:ascii="宋体" w:hAnsi="宋体" w:eastAsia="宋体" w:cs="宋体"/>
      <w:kern w:val="0"/>
      <w:sz w:val="22"/>
      <w:lang w:val="zh-CN" w:bidi="zh-CN"/>
    </w:rPr>
  </w:style>
  <w:style w:type="character" w:customStyle="1" w:styleId="14">
    <w:name w:val="正文文本 Char"/>
    <w:basedOn w:val="6"/>
    <w:link w:val="2"/>
    <w:uiPriority w:val="99"/>
    <w:rPr>
      <w:rFonts w:asciiTheme="minorHAnsi" w:hAnsiTheme="minorHAnsi" w:eastAsiaTheme="minorEastAsia" w:cstheme="minorBidi"/>
      <w:kern w:val="2"/>
      <w:sz w:val="21"/>
      <w:szCs w:val="22"/>
    </w:rPr>
  </w:style>
  <w:style w:type="paragraph" w:styleId="15">
    <w:name w:val="List Paragraph"/>
    <w:basedOn w:val="1"/>
    <w:qFormat/>
    <w:uiPriority w:val="1"/>
    <w:pPr>
      <w:autoSpaceDE w:val="0"/>
      <w:autoSpaceDN w:val="0"/>
      <w:ind w:left="111" w:firstLine="640"/>
      <w:jc w:val="left"/>
    </w:pPr>
    <w:rPr>
      <w:rFonts w:ascii="宋体" w:hAnsi="宋体" w:eastAsia="宋体" w:cs="宋体"/>
      <w:kern w:val="0"/>
      <w:sz w:val="22"/>
      <w:lang w:val="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565A75-6754-42C1-A186-3B1A6404C86D}">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3798</Words>
  <Characters>21652</Characters>
  <Lines>180</Lines>
  <Paragraphs>50</Paragraphs>
  <TotalTime>0</TotalTime>
  <ScaleCrop>false</ScaleCrop>
  <LinksUpToDate>false</LinksUpToDate>
  <CharactersWithSpaces>25400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2022-01-28T01:57:00Z</dcterms:created>
  <dc:creator>程媛</dc:creator>
  <cp:lastModifiedBy>pc</cp:lastModifiedBy>
  <dcterms:modified xsi:type="dcterms:W3CDTF">2022-02-22T04:35:53Z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01E7E9D237874B36A4F4341368A85551</vt:lpwstr>
  </property>
</Properties>
</file>